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adjustRightInd w:val="0"/>
        <w:snapToGrid w:val="0"/>
        <w:spacing w:line="360" w:lineRule="auto"/>
        <w:rPr>
          <w:rFonts w:ascii="仿宋_GB2312" w:hAnsi="宋体" w:eastAsia="仿宋_GB2312"/>
          <w:b/>
          <w:spacing w:val="160"/>
          <w:sz w:val="48"/>
          <w:szCs w:val="48"/>
        </w:rPr>
      </w:pPr>
    </w:p>
    <w:p>
      <w:pPr>
        <w:tabs>
          <w:tab w:val="left" w:pos="420"/>
          <w:tab w:val="left" w:pos="6660"/>
        </w:tabs>
        <w:adjustRightInd w:val="0"/>
        <w:snapToGrid w:val="0"/>
        <w:spacing w:line="360" w:lineRule="auto"/>
        <w:rPr>
          <w:rFonts w:ascii="仿宋_GB2312" w:hAnsi="宋体" w:eastAsia="仿宋_GB2312"/>
          <w:b/>
          <w:spacing w:val="160"/>
          <w:sz w:val="48"/>
          <w:szCs w:val="48"/>
        </w:rPr>
      </w:pPr>
    </w:p>
    <w:p>
      <w:pPr>
        <w:tabs>
          <w:tab w:val="left" w:pos="420"/>
          <w:tab w:val="left" w:pos="6660"/>
        </w:tabs>
        <w:adjustRightInd w:val="0"/>
        <w:snapToGrid w:val="0"/>
        <w:spacing w:line="360" w:lineRule="auto"/>
        <w:rPr>
          <w:rFonts w:ascii="仿宋_GB2312" w:hAnsi="宋体" w:eastAsia="仿宋_GB2312"/>
          <w:b/>
          <w:spacing w:val="160"/>
          <w:sz w:val="48"/>
          <w:szCs w:val="48"/>
        </w:rPr>
      </w:pPr>
    </w:p>
    <w:p>
      <w:pPr>
        <w:tabs>
          <w:tab w:val="left" w:pos="420"/>
          <w:tab w:val="left" w:pos="6660"/>
        </w:tabs>
        <w:adjustRightInd w:val="0"/>
        <w:snapToGrid w:val="0"/>
        <w:spacing w:line="360" w:lineRule="auto"/>
        <w:jc w:val="center"/>
        <w:rPr>
          <w:rFonts w:ascii="宋体" w:hAnsi="宋体"/>
          <w:b/>
          <w:spacing w:val="300"/>
          <w:sz w:val="84"/>
          <w:szCs w:val="84"/>
        </w:rPr>
      </w:pPr>
      <w:r>
        <w:rPr>
          <w:rFonts w:ascii="宋体" w:hAnsi="宋体"/>
          <w:b/>
          <w:spacing w:val="300"/>
          <w:sz w:val="84"/>
          <w:szCs w:val="84"/>
        </w:rPr>
        <w:t>招标文件</w:t>
      </w:r>
    </w:p>
    <w:p>
      <w:pPr>
        <w:spacing w:line="360" w:lineRule="auto"/>
        <w:rPr>
          <w:b/>
          <w:bCs/>
          <w:sz w:val="32"/>
          <w:szCs w:val="32"/>
        </w:rPr>
      </w:pPr>
    </w:p>
    <w:p>
      <w:pPr>
        <w:spacing w:line="360" w:lineRule="auto"/>
        <w:rPr>
          <w:b/>
          <w:bCs/>
          <w:sz w:val="32"/>
          <w:szCs w:val="32"/>
        </w:rPr>
      </w:pPr>
    </w:p>
    <w:p>
      <w:pPr>
        <w:spacing w:line="360" w:lineRule="auto"/>
        <w:rPr>
          <w:b/>
          <w:bCs/>
          <w:sz w:val="32"/>
          <w:szCs w:val="32"/>
        </w:rPr>
      </w:pPr>
    </w:p>
    <w:p>
      <w:pPr>
        <w:spacing w:line="360" w:lineRule="auto"/>
        <w:rPr>
          <w:b/>
          <w:bCs/>
          <w:sz w:val="32"/>
          <w:szCs w:val="32"/>
        </w:rPr>
      </w:pPr>
    </w:p>
    <w:p>
      <w:pPr>
        <w:spacing w:line="360" w:lineRule="auto"/>
        <w:ind w:firstLine="643" w:firstLineChars="200"/>
        <w:rPr>
          <w:b/>
          <w:sz w:val="32"/>
          <w:szCs w:val="32"/>
        </w:rPr>
      </w:pPr>
      <w:r>
        <w:rPr>
          <w:b/>
          <w:sz w:val="32"/>
          <w:szCs w:val="32"/>
        </w:rPr>
        <w:t>采购方式：</w:t>
      </w:r>
      <w:r>
        <w:rPr>
          <w:rFonts w:hint="eastAsia"/>
          <w:b/>
          <w:sz w:val="32"/>
          <w:szCs w:val="32"/>
        </w:rPr>
        <w:t>校内招标</w:t>
      </w:r>
    </w:p>
    <w:p>
      <w:pPr>
        <w:spacing w:line="360" w:lineRule="auto"/>
        <w:ind w:firstLine="643" w:firstLineChars="200"/>
        <w:rPr>
          <w:rFonts w:hint="eastAsia" w:eastAsia="宋体"/>
          <w:b/>
          <w:caps/>
          <w:sz w:val="32"/>
          <w:szCs w:val="32"/>
          <w:lang w:eastAsia="zh-CN"/>
        </w:rPr>
      </w:pPr>
      <w:r>
        <w:rPr>
          <w:b/>
          <w:sz w:val="32"/>
          <w:szCs w:val="32"/>
        </w:rPr>
        <w:t>项目编号：</w:t>
      </w:r>
      <w:r>
        <w:rPr>
          <w:rFonts w:hint="eastAsia"/>
          <w:b/>
          <w:sz w:val="32"/>
          <w:szCs w:val="32"/>
          <w:lang w:eastAsia="zh-CN"/>
        </w:rPr>
        <w:t>XSGZB2024004</w:t>
      </w:r>
    </w:p>
    <w:p>
      <w:pPr>
        <w:spacing w:line="360" w:lineRule="auto"/>
        <w:ind w:firstLine="643" w:firstLineChars="200"/>
        <w:rPr>
          <w:rFonts w:hint="eastAsia" w:eastAsia="宋体"/>
          <w:b/>
          <w:sz w:val="32"/>
          <w:szCs w:val="32"/>
          <w:lang w:eastAsia="zh-CN"/>
        </w:rPr>
      </w:pPr>
      <w:r>
        <w:rPr>
          <w:b/>
          <w:sz w:val="32"/>
          <w:szCs w:val="32"/>
        </w:rPr>
        <w:t>项目名称：</w:t>
      </w:r>
      <w:r>
        <w:rPr>
          <w:rFonts w:hint="eastAsia" w:ascii="宋体" w:hAnsi="宋体"/>
          <w:b/>
          <w:sz w:val="32"/>
          <w:szCs w:val="32"/>
          <w:lang w:eastAsia="zh-CN"/>
        </w:rPr>
        <w:t>2024年新生体检服务项目</w:t>
      </w:r>
    </w:p>
    <w:p>
      <w:pPr>
        <w:spacing w:line="360" w:lineRule="auto"/>
        <w:rPr>
          <w:b/>
          <w:sz w:val="32"/>
          <w:szCs w:val="32"/>
        </w:rPr>
      </w:pPr>
    </w:p>
    <w:p>
      <w:pPr>
        <w:spacing w:line="360" w:lineRule="auto"/>
        <w:rPr>
          <w:b/>
          <w:sz w:val="32"/>
          <w:szCs w:val="32"/>
        </w:rPr>
      </w:pPr>
    </w:p>
    <w:p>
      <w:pPr>
        <w:spacing w:line="360" w:lineRule="auto"/>
        <w:rPr>
          <w:b/>
          <w:sz w:val="32"/>
          <w:szCs w:val="32"/>
        </w:rPr>
      </w:pPr>
    </w:p>
    <w:p>
      <w:pPr>
        <w:spacing w:line="360" w:lineRule="auto"/>
        <w:rPr>
          <w:b/>
          <w:bCs/>
          <w:sz w:val="32"/>
          <w:szCs w:val="32"/>
        </w:rPr>
      </w:pPr>
    </w:p>
    <w:p>
      <w:pPr>
        <w:spacing w:line="360" w:lineRule="auto"/>
        <w:rPr>
          <w:b/>
          <w:bCs/>
          <w:sz w:val="32"/>
          <w:szCs w:val="32"/>
        </w:rPr>
      </w:pPr>
    </w:p>
    <w:p>
      <w:pPr>
        <w:spacing w:line="360" w:lineRule="auto"/>
        <w:rPr>
          <w:b/>
          <w:bCs/>
          <w:sz w:val="32"/>
          <w:szCs w:val="32"/>
        </w:rPr>
      </w:pPr>
    </w:p>
    <w:p>
      <w:pPr>
        <w:spacing w:line="360" w:lineRule="auto"/>
        <w:rPr>
          <w:b/>
          <w:bCs/>
          <w:sz w:val="32"/>
          <w:szCs w:val="32"/>
        </w:rPr>
      </w:pPr>
    </w:p>
    <w:p>
      <w:pPr>
        <w:spacing w:line="360" w:lineRule="auto"/>
        <w:jc w:val="center"/>
        <w:rPr>
          <w:b/>
          <w:sz w:val="32"/>
          <w:szCs w:val="32"/>
        </w:rPr>
      </w:pPr>
      <w:r>
        <w:rPr>
          <w:rFonts w:hint="eastAsia"/>
          <w:b/>
          <w:sz w:val="32"/>
          <w:szCs w:val="32"/>
        </w:rPr>
        <w:t>广东省粤东技师学院物资招标采购中心编制</w:t>
      </w:r>
    </w:p>
    <w:p>
      <w:pPr>
        <w:spacing w:line="360" w:lineRule="auto"/>
        <w:jc w:val="center"/>
        <w:rPr>
          <w:b/>
          <w:sz w:val="32"/>
          <w:szCs w:val="32"/>
        </w:rPr>
      </w:pPr>
      <w:r>
        <w:rPr>
          <w:b/>
          <w:sz w:val="32"/>
          <w:szCs w:val="32"/>
        </w:rPr>
        <w:t>发布日期：</w:t>
      </w:r>
      <w:r>
        <w:rPr>
          <w:rFonts w:hint="eastAsia"/>
          <w:b/>
          <w:sz w:val="32"/>
          <w:szCs w:val="32"/>
        </w:rPr>
        <w:t>2024年</w:t>
      </w:r>
      <w:r>
        <w:rPr>
          <w:rFonts w:hint="eastAsia"/>
          <w:b/>
          <w:sz w:val="32"/>
          <w:szCs w:val="32"/>
          <w:lang w:val="en-US" w:eastAsia="zh-CN"/>
        </w:rPr>
        <w:t>9</w:t>
      </w:r>
      <w:r>
        <w:rPr>
          <w:b/>
          <w:sz w:val="32"/>
          <w:szCs w:val="32"/>
        </w:rPr>
        <w:t>月</w:t>
      </w:r>
      <w:r>
        <w:rPr>
          <w:rFonts w:hint="eastAsia"/>
          <w:b/>
          <w:sz w:val="32"/>
          <w:szCs w:val="32"/>
          <w:lang w:val="en-US" w:eastAsia="zh-CN"/>
        </w:rPr>
        <w:t>10</w:t>
      </w:r>
      <w:r>
        <w:rPr>
          <w:rFonts w:hint="eastAsia"/>
          <w:b/>
          <w:sz w:val="32"/>
          <w:szCs w:val="32"/>
        </w:rPr>
        <w:t>日</w:t>
      </w:r>
    </w:p>
    <w:p>
      <w:pPr>
        <w:spacing w:line="360" w:lineRule="auto"/>
        <w:jc w:val="center"/>
        <w:rPr>
          <w:b/>
          <w:kern w:val="28"/>
          <w:sz w:val="36"/>
          <w:szCs w:val="36"/>
        </w:rPr>
      </w:pPr>
    </w:p>
    <w:p>
      <w:pPr>
        <w:spacing w:line="360" w:lineRule="auto"/>
        <w:jc w:val="center"/>
        <w:rPr>
          <w:b/>
          <w:kern w:val="28"/>
          <w:sz w:val="36"/>
          <w:szCs w:val="36"/>
        </w:rPr>
      </w:pPr>
    </w:p>
    <w:p>
      <w:pPr>
        <w:spacing w:line="360" w:lineRule="auto"/>
        <w:jc w:val="center"/>
        <w:rPr>
          <w:b/>
          <w:kern w:val="28"/>
          <w:sz w:val="36"/>
          <w:szCs w:val="36"/>
        </w:rPr>
      </w:pPr>
      <w:r>
        <w:rPr>
          <w:rFonts w:hint="eastAsia"/>
          <w:b/>
          <w:kern w:val="28"/>
          <w:sz w:val="36"/>
          <w:szCs w:val="36"/>
        </w:rPr>
        <w:t>投标邀请函</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广东省粤东技师学院就</w:t>
      </w:r>
      <w:r>
        <w:rPr>
          <w:rFonts w:hint="eastAsia" w:ascii="宋体" w:hAnsi="宋体"/>
          <w:sz w:val="24"/>
          <w:lang w:eastAsia="zh-CN"/>
        </w:rPr>
        <w:t>2024年新生体检服务项目</w:t>
      </w:r>
      <w:r>
        <w:rPr>
          <w:rFonts w:hint="eastAsia" w:ascii="宋体" w:hAnsi="宋体"/>
          <w:sz w:val="24"/>
        </w:rPr>
        <w:t>(采购编号：</w:t>
      </w:r>
      <w:r>
        <w:rPr>
          <w:rFonts w:hint="eastAsia" w:ascii="宋体" w:hAnsi="宋体"/>
          <w:sz w:val="24"/>
          <w:lang w:eastAsia="zh-CN"/>
        </w:rPr>
        <w:t>XSGZB2024004</w:t>
      </w:r>
      <w:r>
        <w:rPr>
          <w:rFonts w:hint="eastAsia" w:ascii="宋体" w:hAnsi="宋体"/>
          <w:sz w:val="24"/>
        </w:rPr>
        <w:t>)校内招标接受合格的投标人提交密封投标。有关事项如下：</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一、招标项目的名称、概况和预算</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4"/>
          <w:lang w:eastAsia="zh-CN"/>
        </w:rPr>
      </w:pPr>
      <w:r>
        <w:rPr>
          <w:rFonts w:hint="eastAsia" w:ascii="宋体" w:hAnsi="宋体"/>
          <w:sz w:val="24"/>
        </w:rPr>
        <w:t>（一）项目名称：</w:t>
      </w:r>
      <w:r>
        <w:rPr>
          <w:rFonts w:hint="eastAsia" w:ascii="宋体" w:hAnsi="宋体"/>
          <w:sz w:val="24"/>
          <w:lang w:eastAsia="zh-CN"/>
        </w:rPr>
        <w:t>2024年新生体检服务项目</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（二）项目概况和预算：</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1.项目内容、需求及简要技术要求：详见《采购项目说明》。</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2.采购预算：</w:t>
      </w:r>
      <w:r>
        <w:rPr>
          <w:rFonts w:hint="eastAsia" w:ascii="宋体" w:hAnsi="宋体"/>
          <w:sz w:val="24"/>
          <w:lang w:eastAsia="zh-CN"/>
        </w:rPr>
        <w:t>2024年新生体检服务</w:t>
      </w:r>
      <w:r>
        <w:rPr>
          <w:rFonts w:hint="eastAsia" w:ascii="宋体" w:hAnsi="宋体"/>
          <w:sz w:val="24"/>
          <w:lang w:val="en-US" w:eastAsia="zh-CN"/>
        </w:rPr>
        <w:t>项目，</w:t>
      </w:r>
      <w:r>
        <w:rPr>
          <w:rFonts w:hint="eastAsia" w:ascii="宋体" w:hAnsi="宋体"/>
          <w:color w:val="auto"/>
          <w:sz w:val="24"/>
        </w:rPr>
        <w:t>最高限额</w:t>
      </w:r>
      <w:r>
        <w:rPr>
          <w:rFonts w:hint="eastAsia" w:ascii="宋体" w:hAnsi="宋体"/>
          <w:color w:val="auto"/>
          <w:sz w:val="24"/>
          <w:lang w:val="en-US" w:eastAsia="zh-CN"/>
        </w:rPr>
        <w:t>278400.00</w:t>
      </w:r>
      <w:r>
        <w:rPr>
          <w:rFonts w:hint="eastAsia" w:ascii="宋体" w:hAnsi="宋体"/>
          <w:color w:val="auto"/>
          <w:sz w:val="24"/>
        </w:rPr>
        <w:t>元。</w:t>
      </w:r>
      <w:r>
        <w:rPr>
          <w:rFonts w:hint="eastAsia" w:ascii="宋体" w:hAnsi="宋体"/>
          <w:bCs/>
          <w:color w:val="auto"/>
          <w:sz w:val="24"/>
        </w:rPr>
        <w:t>超过最高限价的投标报价为无效报价。</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二、合格投标人条件</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1．投标人应具备《政府采购法》第二十二条规定的条件(提供企业法人或者其他组织营业执照（或事业法人登记证或身份证等相关证明）副本复印件和及法人代表复印件并加盖公章)。</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格式详见附件1）。</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3.单位负责人为同一人或者存在直接控股、管理关系的不同供应商，不得参加同一包组投标或者未划分包组的同一招标项目的采购活动。如同时参加，则评审时均作无效投标处理（提供承诺函并盖公章，格式详见附件2）。</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Times New Roman"/>
          <w:sz w:val="24"/>
        </w:rPr>
      </w:pPr>
      <w:r>
        <w:rPr>
          <w:rFonts w:hint="eastAsia" w:ascii="宋体" w:hAnsi="宋体" w:eastAsia="宋体" w:cs="Times New Roman"/>
          <w:sz w:val="24"/>
        </w:rPr>
        <w:t>4.投标人须具有有效的《医疗机构执业许可证》。</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Times New Roman"/>
          <w:sz w:val="24"/>
        </w:rPr>
      </w:pPr>
      <w:r>
        <w:rPr>
          <w:rFonts w:hint="eastAsia" w:ascii="宋体" w:hAnsi="宋体" w:eastAsia="宋体" w:cs="Times New Roman"/>
          <w:sz w:val="24"/>
        </w:rPr>
        <w:t>5.本项目不接受联合体投标。</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三、招标文件领取</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符合资格的投标人应当在2024年</w:t>
      </w:r>
      <w:r>
        <w:rPr>
          <w:rFonts w:hint="eastAsia" w:ascii="宋体" w:hAnsi="宋体"/>
          <w:sz w:val="24"/>
          <w:u w:val="single"/>
          <w:lang w:val="en-US" w:eastAsia="zh-CN"/>
        </w:rPr>
        <w:t xml:space="preserve">09 </w:t>
      </w:r>
      <w:r>
        <w:rPr>
          <w:rFonts w:hint="eastAsia" w:ascii="宋体" w:hAnsi="宋体"/>
          <w:sz w:val="24"/>
        </w:rPr>
        <w:t>月</w:t>
      </w:r>
      <w:r>
        <w:rPr>
          <w:rFonts w:hint="eastAsia" w:ascii="宋体" w:hAnsi="宋体"/>
          <w:sz w:val="24"/>
          <w:u w:val="single"/>
          <w:lang w:val="en-US" w:eastAsia="zh-CN"/>
        </w:rPr>
        <w:t xml:space="preserve"> 10 </w:t>
      </w:r>
      <w:r>
        <w:rPr>
          <w:rFonts w:hint="eastAsia" w:ascii="宋体" w:hAnsi="宋体"/>
          <w:sz w:val="24"/>
        </w:rPr>
        <w:t>日至</w:t>
      </w:r>
      <w:r>
        <w:rPr>
          <w:rFonts w:hint="eastAsia" w:ascii="宋体" w:hAnsi="宋体"/>
          <w:sz w:val="24"/>
          <w:u w:val="single"/>
          <w:lang w:val="en-US" w:eastAsia="zh-CN"/>
        </w:rPr>
        <w:t xml:space="preserve"> 13 </w:t>
      </w:r>
      <w:r>
        <w:rPr>
          <w:rFonts w:hint="eastAsia" w:ascii="宋体" w:hAnsi="宋体"/>
          <w:sz w:val="24"/>
        </w:rPr>
        <w:t>日（上午9：00-12：00，下午2：30-4：30）到</w:t>
      </w:r>
      <w:r>
        <w:rPr>
          <w:rFonts w:hint="eastAsia" w:ascii="宋体" w:hAnsi="宋体"/>
          <w:sz w:val="24"/>
          <w:lang w:eastAsia="zh-CN"/>
        </w:rPr>
        <w:t>汕头市濠江区北山湾路32号广东省粤东技师学院行政楼三楼314室</w:t>
      </w:r>
      <w:r>
        <w:rPr>
          <w:rFonts w:hint="eastAsia" w:ascii="宋体" w:hAnsi="宋体"/>
          <w:sz w:val="24"/>
        </w:rPr>
        <w:t>物资招标采购中心领取询价文件，并提供《营业执照》及法人代表身份证复印件加盖公章经物资招标采购中心审核。</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color w:val="000000"/>
          <w:sz w:val="24"/>
        </w:rPr>
      </w:pPr>
      <w:r>
        <w:rPr>
          <w:rFonts w:hint="eastAsia" w:ascii="宋体" w:hAnsi="宋体"/>
          <w:b/>
          <w:color w:val="000000"/>
          <w:sz w:val="24"/>
        </w:rPr>
        <w:t>四、投标截止时间、开标时间及地点</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olor w:val="000000"/>
          <w:sz w:val="24"/>
        </w:rPr>
      </w:pPr>
      <w:r>
        <w:rPr>
          <w:rFonts w:hint="eastAsia" w:ascii="宋体" w:hAnsi="宋体"/>
          <w:color w:val="000000"/>
          <w:sz w:val="24"/>
        </w:rPr>
        <w:t>1. 投标截止时间：2024年</w:t>
      </w:r>
      <w:r>
        <w:rPr>
          <w:rFonts w:hint="eastAsia" w:ascii="宋体" w:hAnsi="宋体"/>
          <w:color w:val="000000"/>
          <w:sz w:val="24"/>
          <w:u w:val="single"/>
          <w:lang w:val="en-US" w:eastAsia="zh-CN"/>
        </w:rPr>
        <w:t>09</w:t>
      </w:r>
      <w:r>
        <w:rPr>
          <w:rFonts w:hint="eastAsia" w:ascii="宋体" w:hAnsi="宋体"/>
          <w:color w:val="000000"/>
          <w:sz w:val="24"/>
        </w:rPr>
        <w:t>月</w:t>
      </w:r>
      <w:r>
        <w:rPr>
          <w:rFonts w:hint="eastAsia" w:ascii="宋体" w:hAnsi="宋体"/>
          <w:color w:val="000000"/>
          <w:sz w:val="24"/>
          <w:u w:val="single"/>
          <w:lang w:val="en-US" w:eastAsia="zh-CN"/>
        </w:rPr>
        <w:t xml:space="preserve"> 19 </w:t>
      </w:r>
      <w:r>
        <w:rPr>
          <w:rFonts w:hint="eastAsia" w:ascii="宋体" w:hAnsi="宋体"/>
          <w:color w:val="000000"/>
          <w:sz w:val="24"/>
        </w:rPr>
        <w:t>日10时00分。</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olor w:val="000000"/>
          <w:sz w:val="24"/>
        </w:rPr>
      </w:pPr>
      <w:r>
        <w:rPr>
          <w:rFonts w:hint="eastAsia" w:ascii="宋体" w:hAnsi="宋体"/>
          <w:bCs/>
          <w:color w:val="000000"/>
          <w:sz w:val="24"/>
        </w:rPr>
        <w:t>2．报价文件送达地点：</w:t>
      </w:r>
      <w:r>
        <w:rPr>
          <w:rFonts w:hint="eastAsia" w:ascii="宋体" w:hAnsi="宋体"/>
          <w:sz w:val="24"/>
          <w:lang w:eastAsia="zh-CN"/>
        </w:rPr>
        <w:t>汕头市濠江区北山湾路32号广东省粤东技师学院行政楼三楼314室</w:t>
      </w:r>
      <w:r>
        <w:rPr>
          <w:rFonts w:hint="eastAsia" w:ascii="宋体" w:hAnsi="宋体"/>
          <w:sz w:val="24"/>
        </w:rPr>
        <w:t>物资招标采购中心</w:t>
      </w:r>
      <w:r>
        <w:rPr>
          <w:rFonts w:hint="eastAsia" w:ascii="宋体" w:hAnsi="宋体"/>
          <w:bCs/>
          <w:color w:val="000000"/>
          <w:sz w:val="24"/>
        </w:rPr>
        <w:t>（密封件加盖公章）。</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color w:val="000000"/>
          <w:sz w:val="24"/>
        </w:rPr>
        <w:t>3．开标评标时间：2024年</w:t>
      </w:r>
      <w:r>
        <w:rPr>
          <w:rFonts w:hint="eastAsia" w:ascii="宋体" w:hAnsi="宋体"/>
          <w:color w:val="000000"/>
          <w:sz w:val="24"/>
          <w:u w:val="single"/>
          <w:lang w:val="en-US" w:eastAsia="zh-CN"/>
        </w:rPr>
        <w:t>09</w:t>
      </w:r>
      <w:r>
        <w:rPr>
          <w:rFonts w:hint="eastAsia" w:ascii="宋体" w:hAnsi="宋体"/>
          <w:color w:val="000000"/>
          <w:sz w:val="24"/>
        </w:rPr>
        <w:t>月</w:t>
      </w:r>
      <w:r>
        <w:rPr>
          <w:rFonts w:hint="eastAsia" w:ascii="宋体" w:hAnsi="宋体"/>
          <w:color w:val="000000"/>
          <w:sz w:val="24"/>
          <w:u w:val="single"/>
          <w:lang w:val="en-US" w:eastAsia="zh-CN"/>
        </w:rPr>
        <w:t xml:space="preserve"> 19 </w:t>
      </w:r>
      <w:r>
        <w:rPr>
          <w:rFonts w:hint="eastAsia" w:ascii="宋体" w:hAnsi="宋体"/>
          <w:color w:val="000000"/>
          <w:sz w:val="24"/>
        </w:rPr>
        <w:t>日10时00分</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4．开标地点：</w:t>
      </w:r>
      <w:r>
        <w:rPr>
          <w:rFonts w:hint="eastAsia" w:ascii="宋体" w:hAnsi="宋体"/>
          <w:sz w:val="24"/>
          <w:lang w:eastAsia="zh-CN"/>
        </w:rPr>
        <w:t>汕头市濠江区北山湾路32号广东省粤东技师学院行政楼三楼314室</w:t>
      </w:r>
      <w:r>
        <w:rPr>
          <w:rFonts w:hint="eastAsia" w:ascii="宋体" w:hAnsi="宋体"/>
          <w:sz w:val="24"/>
        </w:rPr>
        <w:t>物资招标采购中心</w:t>
      </w:r>
      <w:r>
        <w:rPr>
          <w:rFonts w:hint="eastAsia" w:ascii="宋体" w:hAnsi="宋体"/>
          <w:color w:val="000000"/>
          <w:sz w:val="24"/>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五、采购人联系方式</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联系部门：广东省粤东技师学院物资招标采购中心</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sz w:val="24"/>
          <w:lang w:eastAsia="zh-CN"/>
        </w:rPr>
      </w:pPr>
      <w:r>
        <w:rPr>
          <w:rFonts w:hint="eastAsia" w:ascii="宋体" w:hAnsi="宋体"/>
          <w:sz w:val="24"/>
        </w:rPr>
        <w:t>联系地址：</w:t>
      </w:r>
      <w:r>
        <w:rPr>
          <w:rFonts w:hint="eastAsia" w:ascii="宋体" w:hAnsi="宋体"/>
          <w:sz w:val="24"/>
          <w:lang w:eastAsia="zh-CN"/>
        </w:rPr>
        <w:t>汕头市濠江区北山湾路32号广东省粤东技师学院行政楼三楼314室</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联系人：夏老师</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联系方式：</w:t>
      </w:r>
      <w:r>
        <w:rPr>
          <w:rFonts w:hint="eastAsia" w:ascii="宋体" w:hAnsi="宋体"/>
          <w:color w:val="000000"/>
          <w:sz w:val="24"/>
        </w:rPr>
        <w:t>0754-89690115、0574-88307771</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bookmarkStart w:id="4" w:name="_GoBack"/>
      <w:bookmarkEnd w:id="4"/>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r>
        <w:rPr>
          <w:rFonts w:hint="eastAsia" w:ascii="宋体" w:hAnsi="宋体" w:cs="宋体"/>
          <w:bCs/>
          <w:kern w:val="0"/>
          <w:sz w:val="24"/>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r>
        <w:rPr>
          <w:rFonts w:hint="eastAsia" w:ascii="宋体" w:hAnsi="宋体" w:cs="宋体"/>
          <w:bCs/>
          <w:kern w:val="0"/>
          <w:sz w:val="24"/>
        </w:rPr>
        <w:t xml:space="preserve">            广东省粤东技师学院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cs="宋体"/>
          <w:bCs/>
          <w:kern w:val="0"/>
          <w:sz w:val="24"/>
        </w:rPr>
        <w:t>                  2024年</w:t>
      </w:r>
      <w:r>
        <w:rPr>
          <w:rFonts w:hint="eastAsia" w:ascii="宋体" w:hAnsi="宋体" w:cs="宋体"/>
          <w:bCs/>
          <w:kern w:val="0"/>
          <w:sz w:val="24"/>
          <w:lang w:val="en-US" w:eastAsia="zh-CN"/>
        </w:rPr>
        <w:t>09</w:t>
      </w:r>
      <w:r>
        <w:rPr>
          <w:rFonts w:hint="eastAsia" w:ascii="宋体" w:hAnsi="宋体" w:cs="宋体"/>
          <w:bCs/>
          <w:kern w:val="0"/>
          <w:sz w:val="24"/>
        </w:rPr>
        <w:t>月</w:t>
      </w:r>
      <w:r>
        <w:rPr>
          <w:rFonts w:hint="eastAsia" w:ascii="宋体" w:hAnsi="宋体" w:cs="宋体"/>
          <w:bCs/>
          <w:kern w:val="0"/>
          <w:sz w:val="24"/>
          <w:lang w:val="en-US" w:eastAsia="zh-CN"/>
        </w:rPr>
        <w:t>10</w:t>
      </w:r>
      <w:r>
        <w:rPr>
          <w:rFonts w:hint="eastAsia" w:ascii="宋体" w:hAnsi="宋体" w:cs="宋体"/>
          <w:bCs/>
          <w:kern w:val="0"/>
          <w:sz w:val="24"/>
        </w:rPr>
        <w:t>日</w:t>
      </w: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rFonts w:hint="eastAsia"/>
          <w:kern w:val="28"/>
          <w:sz w:val="36"/>
          <w:szCs w:val="36"/>
        </w:rPr>
      </w:pPr>
      <w:r>
        <w:rPr>
          <w:rFonts w:hint="eastAsia"/>
          <w:kern w:val="28"/>
          <w:sz w:val="36"/>
          <w:szCs w:val="36"/>
        </w:rPr>
        <w:t>采购项目说明</w:t>
      </w:r>
    </w:p>
    <w:p>
      <w:pPr>
        <w:pStyle w:val="7"/>
        <w:numPr>
          <w:ilvl w:val="0"/>
          <w:numId w:val="1"/>
        </w:numPr>
        <w:tabs>
          <w:tab w:val="left" w:pos="540"/>
        </w:tabs>
        <w:snapToGrid w:val="0"/>
        <w:spacing w:line="360" w:lineRule="auto"/>
        <w:rPr>
          <w:rFonts w:asciiTheme="majorEastAsia" w:hAnsiTheme="majorEastAsia" w:eastAsiaTheme="majorEastAsia"/>
          <w:b/>
          <w:color w:val="auto"/>
          <w:sz w:val="24"/>
          <w:szCs w:val="24"/>
        </w:rPr>
      </w:pPr>
      <w:r>
        <w:rPr>
          <w:rFonts w:hint="eastAsia" w:asciiTheme="majorEastAsia" w:hAnsiTheme="majorEastAsia" w:eastAsiaTheme="majorEastAsia"/>
          <w:b/>
          <w:color w:val="auto"/>
          <w:sz w:val="24"/>
          <w:szCs w:val="24"/>
        </w:rPr>
        <w:t>服务内容</w:t>
      </w:r>
    </w:p>
    <w:p>
      <w:pPr>
        <w:pStyle w:val="7"/>
        <w:numPr>
          <w:ilvl w:val="0"/>
          <w:numId w:val="0"/>
        </w:numPr>
        <w:tabs>
          <w:tab w:val="left" w:pos="540"/>
        </w:tabs>
        <w:snapToGrid w:val="0"/>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2024年新生入学工作需要，拟采购新生体检服务，预计学院三个校区一个教学点共4800人，体检费每生58元，费用总预算278400元。</w:t>
      </w:r>
    </w:p>
    <w:p>
      <w:pPr>
        <w:pStyle w:val="7"/>
        <w:numPr>
          <w:ilvl w:val="0"/>
          <w:numId w:val="0"/>
        </w:numPr>
        <w:tabs>
          <w:tab w:val="left" w:pos="540"/>
        </w:tabs>
        <w:snapToGrid w:val="0"/>
        <w:spacing w:line="360" w:lineRule="auto"/>
        <w:rPr>
          <w:rFonts w:asciiTheme="majorEastAsia" w:hAnsiTheme="majorEastAsia" w:eastAsiaTheme="majorEastAsia"/>
          <w:b/>
          <w:color w:val="auto"/>
          <w:sz w:val="24"/>
          <w:szCs w:val="24"/>
        </w:rPr>
      </w:pPr>
      <w:r>
        <w:rPr>
          <w:rFonts w:hint="eastAsia" w:hAnsi="宋体"/>
          <w:sz w:val="24"/>
          <w:szCs w:val="24"/>
          <w:lang w:val="en-US" w:eastAsia="zh-CN"/>
        </w:rPr>
        <w:t>二、</w:t>
      </w:r>
      <w:r>
        <w:rPr>
          <w:rFonts w:hint="eastAsia" w:asciiTheme="majorEastAsia" w:hAnsiTheme="majorEastAsia" w:eastAsiaTheme="majorEastAsia"/>
          <w:b/>
          <w:color w:val="auto"/>
          <w:sz w:val="24"/>
          <w:szCs w:val="24"/>
        </w:rPr>
        <w:t>服务要求</w:t>
      </w:r>
    </w:p>
    <w:p>
      <w:pPr>
        <w:numPr>
          <w:ilvl w:val="0"/>
          <w:numId w:val="2"/>
        </w:numPr>
        <w:tabs>
          <w:tab w:val="left" w:pos="567"/>
          <w:tab w:val="clear" w:pos="420"/>
        </w:tabs>
        <w:snapToGrid w:val="0"/>
        <w:spacing w:line="360" w:lineRule="auto"/>
        <w:rPr>
          <w:rFonts w:hint="eastAsia" w:asciiTheme="majorEastAsia" w:hAnsiTheme="majorEastAsia" w:eastAsiaTheme="majorEastAsia"/>
          <w:b w:val="0"/>
          <w:bCs/>
          <w:color w:val="auto"/>
          <w:sz w:val="24"/>
          <w:szCs w:val="24"/>
        </w:rPr>
      </w:pPr>
      <w:r>
        <w:rPr>
          <w:rFonts w:hint="eastAsia" w:asciiTheme="majorEastAsia" w:hAnsiTheme="majorEastAsia" w:eastAsiaTheme="majorEastAsia"/>
          <w:b w:val="0"/>
          <w:bCs/>
          <w:color w:val="auto"/>
          <w:sz w:val="24"/>
          <w:szCs w:val="24"/>
        </w:rPr>
        <w:t>人均体检</w:t>
      </w:r>
      <w:r>
        <w:rPr>
          <w:rFonts w:hint="eastAsia" w:asciiTheme="majorEastAsia" w:hAnsiTheme="majorEastAsia" w:eastAsiaTheme="majorEastAsia"/>
          <w:b w:val="0"/>
          <w:bCs/>
          <w:color w:val="auto"/>
          <w:sz w:val="24"/>
          <w:szCs w:val="24"/>
          <w:lang w:val="en-US" w:eastAsia="zh-CN"/>
        </w:rPr>
        <w:t>单价限价为58</w:t>
      </w:r>
      <w:r>
        <w:rPr>
          <w:rFonts w:hint="eastAsia" w:asciiTheme="majorEastAsia" w:hAnsiTheme="majorEastAsia" w:eastAsiaTheme="majorEastAsia"/>
          <w:b w:val="0"/>
          <w:bCs/>
          <w:color w:val="auto"/>
          <w:sz w:val="24"/>
          <w:szCs w:val="24"/>
        </w:rPr>
        <w:t>元</w:t>
      </w:r>
      <w:r>
        <w:rPr>
          <w:rFonts w:hint="eastAsia" w:asciiTheme="majorEastAsia" w:hAnsiTheme="majorEastAsia" w:eastAsiaTheme="majorEastAsia"/>
          <w:b w:val="0"/>
          <w:bCs/>
          <w:color w:val="auto"/>
          <w:sz w:val="24"/>
          <w:szCs w:val="24"/>
          <w:lang w:val="en-US" w:eastAsia="zh-CN"/>
        </w:rPr>
        <w:t>/人</w:t>
      </w:r>
      <w:r>
        <w:rPr>
          <w:rFonts w:hint="eastAsia" w:asciiTheme="majorEastAsia" w:hAnsiTheme="majorEastAsia" w:eastAsiaTheme="majorEastAsia"/>
          <w:b w:val="0"/>
          <w:bCs/>
          <w:color w:val="auto"/>
          <w:sz w:val="24"/>
          <w:szCs w:val="24"/>
        </w:rPr>
        <w:t>，</w:t>
      </w:r>
      <w:r>
        <w:rPr>
          <w:rFonts w:hint="eastAsia" w:asciiTheme="majorEastAsia" w:hAnsiTheme="majorEastAsia" w:eastAsiaTheme="majorEastAsia"/>
          <w:b w:val="0"/>
          <w:bCs/>
          <w:color w:val="auto"/>
          <w:sz w:val="24"/>
          <w:szCs w:val="24"/>
          <w:lang w:val="en-US" w:eastAsia="zh-CN"/>
        </w:rPr>
        <w:t>体检人数约4800</w:t>
      </w:r>
      <w:r>
        <w:rPr>
          <w:rFonts w:hint="eastAsia" w:asciiTheme="majorEastAsia" w:hAnsiTheme="majorEastAsia" w:eastAsiaTheme="majorEastAsia"/>
          <w:b w:val="0"/>
          <w:bCs/>
          <w:color w:val="auto"/>
          <w:sz w:val="24"/>
          <w:szCs w:val="24"/>
        </w:rPr>
        <w:t>人/年</w:t>
      </w:r>
      <w:r>
        <w:rPr>
          <w:rFonts w:hint="eastAsia" w:asciiTheme="majorEastAsia" w:hAnsiTheme="majorEastAsia" w:eastAsiaTheme="majorEastAsia"/>
          <w:b w:val="0"/>
          <w:bCs/>
          <w:color w:val="auto"/>
          <w:sz w:val="24"/>
          <w:szCs w:val="24"/>
          <w:lang w:eastAsia="zh-CN"/>
        </w:rPr>
        <w:t>。</w:t>
      </w:r>
      <w:r>
        <w:rPr>
          <w:rFonts w:hint="eastAsia" w:asciiTheme="majorEastAsia" w:hAnsiTheme="majorEastAsia" w:eastAsiaTheme="majorEastAsia"/>
          <w:b w:val="0"/>
          <w:bCs/>
          <w:color w:val="auto"/>
          <w:sz w:val="24"/>
          <w:szCs w:val="24"/>
        </w:rPr>
        <w:t>（实际费用按学生体检人数结算）。</w:t>
      </w:r>
    </w:p>
    <w:p>
      <w:pPr>
        <w:numPr>
          <w:ilvl w:val="0"/>
          <w:numId w:val="2"/>
        </w:numPr>
        <w:tabs>
          <w:tab w:val="left" w:pos="567"/>
          <w:tab w:val="clear" w:pos="420"/>
        </w:tabs>
        <w:snapToGrid w:val="0"/>
        <w:spacing w:line="360" w:lineRule="auto"/>
        <w:rPr>
          <w:rFonts w:hint="eastAsia" w:asciiTheme="majorEastAsia" w:hAnsiTheme="majorEastAsia" w:eastAsiaTheme="majorEastAsia"/>
          <w:b w:val="0"/>
          <w:bCs/>
          <w:color w:val="auto"/>
          <w:sz w:val="24"/>
          <w:szCs w:val="24"/>
        </w:rPr>
      </w:pPr>
      <w:r>
        <w:rPr>
          <w:rFonts w:hint="eastAsia" w:asciiTheme="majorEastAsia" w:hAnsiTheme="majorEastAsia" w:eastAsiaTheme="majorEastAsia"/>
          <w:b w:val="0"/>
          <w:bCs/>
          <w:color w:val="auto"/>
          <w:sz w:val="24"/>
          <w:szCs w:val="24"/>
        </w:rPr>
        <w:t>服务期：</w:t>
      </w:r>
      <w:r>
        <w:rPr>
          <w:rFonts w:hint="eastAsia" w:ascii="宋体" w:hAnsi="宋体"/>
          <w:color w:val="auto"/>
          <w:sz w:val="24"/>
          <w:szCs w:val="24"/>
          <w:u w:val="single"/>
          <w:lang w:val="en-US" w:eastAsia="zh-CN"/>
        </w:rPr>
        <w:t>自合同签订之日起15日内完成服务。</w:t>
      </w:r>
    </w:p>
    <w:p>
      <w:pPr>
        <w:numPr>
          <w:ilvl w:val="0"/>
          <w:numId w:val="2"/>
        </w:numPr>
        <w:tabs>
          <w:tab w:val="left" w:pos="567"/>
          <w:tab w:val="clear" w:pos="420"/>
        </w:tabs>
        <w:snapToGrid w:val="0"/>
        <w:spacing w:line="360" w:lineRule="auto"/>
        <w:rPr>
          <w:rFonts w:hint="eastAsia" w:asciiTheme="majorEastAsia" w:hAnsiTheme="majorEastAsia" w:eastAsiaTheme="majorEastAsia"/>
          <w:b w:val="0"/>
          <w:bCs/>
          <w:color w:val="auto"/>
          <w:sz w:val="24"/>
          <w:szCs w:val="24"/>
        </w:rPr>
      </w:pPr>
      <w:r>
        <w:rPr>
          <w:rFonts w:hint="eastAsia" w:asciiTheme="majorEastAsia" w:hAnsiTheme="majorEastAsia" w:eastAsiaTheme="majorEastAsia"/>
          <w:b w:val="0"/>
          <w:bCs/>
          <w:color w:val="auto"/>
          <w:sz w:val="24"/>
          <w:szCs w:val="24"/>
          <w:lang w:val="en-US" w:eastAsia="zh-CN"/>
        </w:rPr>
        <w:t>总体要求：</w:t>
      </w:r>
    </w:p>
    <w:p>
      <w:pPr>
        <w:numPr>
          <w:ilvl w:val="0"/>
          <w:numId w:val="0"/>
        </w:numPr>
        <w:tabs>
          <w:tab w:val="left" w:pos="567"/>
        </w:tabs>
        <w:snapToGrid w:val="0"/>
        <w:spacing w:line="360" w:lineRule="auto"/>
        <w:ind w:left="0" w:leftChars="0" w:firstLine="480" w:firstLineChars="200"/>
        <w:rPr>
          <w:rFonts w:hint="eastAsia" w:asciiTheme="majorEastAsia" w:hAnsiTheme="majorEastAsia" w:eastAsiaTheme="majorEastAsia"/>
          <w:b w:val="0"/>
          <w:bCs/>
          <w:color w:val="auto"/>
          <w:sz w:val="24"/>
          <w:szCs w:val="24"/>
        </w:rPr>
      </w:pPr>
      <w:r>
        <w:rPr>
          <w:rFonts w:hint="default" w:cs="Times New Roman" w:asciiTheme="majorEastAsia" w:hAnsiTheme="majorEastAsia" w:eastAsiaTheme="majorEastAsia"/>
          <w:b w:val="0"/>
          <w:bCs/>
          <w:color w:val="auto"/>
          <w:sz w:val="24"/>
          <w:szCs w:val="24"/>
          <w:lang w:val="en-US" w:eastAsia="zh-CN" w:bidi="ar-SA"/>
        </w:rPr>
        <w:t>1．</w:t>
      </w:r>
      <w:r>
        <w:rPr>
          <w:rFonts w:hint="eastAsia" w:asciiTheme="majorEastAsia" w:hAnsiTheme="majorEastAsia" w:eastAsiaTheme="majorEastAsia"/>
          <w:b w:val="0"/>
          <w:bCs/>
          <w:color w:val="auto"/>
          <w:sz w:val="24"/>
          <w:szCs w:val="24"/>
        </w:rPr>
        <w:t>投标人的医师人员职称综合水平高，具备副主任医师或以上职称</w:t>
      </w:r>
      <w:r>
        <w:rPr>
          <w:rFonts w:hint="eastAsia" w:asciiTheme="majorEastAsia" w:hAnsiTheme="majorEastAsia" w:eastAsiaTheme="majorEastAsia"/>
          <w:b w:val="0"/>
          <w:bCs/>
          <w:color w:val="auto"/>
          <w:sz w:val="24"/>
          <w:szCs w:val="24"/>
          <w:lang w:val="en-US" w:eastAsia="zh-CN"/>
        </w:rPr>
        <w:t>2</w:t>
      </w:r>
      <w:r>
        <w:rPr>
          <w:rFonts w:hint="eastAsia" w:asciiTheme="majorEastAsia" w:hAnsiTheme="majorEastAsia" w:eastAsiaTheme="majorEastAsia"/>
          <w:b w:val="0"/>
          <w:bCs/>
          <w:color w:val="auto"/>
          <w:sz w:val="24"/>
          <w:szCs w:val="24"/>
        </w:rPr>
        <w:t>人或以上。</w:t>
      </w:r>
    </w:p>
    <w:p>
      <w:pPr>
        <w:numPr>
          <w:ilvl w:val="0"/>
          <w:numId w:val="0"/>
        </w:numPr>
        <w:tabs>
          <w:tab w:val="left" w:pos="567"/>
        </w:tabs>
        <w:snapToGrid w:val="0"/>
        <w:spacing w:line="360" w:lineRule="auto"/>
        <w:ind w:left="0" w:leftChars="0" w:firstLine="480" w:firstLineChars="200"/>
        <w:rPr>
          <w:rFonts w:hint="eastAsia" w:asciiTheme="majorEastAsia" w:hAnsiTheme="majorEastAsia" w:eastAsiaTheme="majorEastAsia"/>
          <w:b w:val="0"/>
          <w:bCs/>
          <w:color w:val="auto"/>
          <w:sz w:val="24"/>
          <w:szCs w:val="24"/>
        </w:rPr>
      </w:pPr>
      <w:r>
        <w:rPr>
          <w:rFonts w:hint="eastAsia" w:cs="Times New Roman" w:asciiTheme="majorEastAsia" w:hAnsiTheme="majorEastAsia" w:eastAsiaTheme="majorEastAsia"/>
          <w:b w:val="0"/>
          <w:bCs/>
          <w:color w:val="auto"/>
          <w:sz w:val="24"/>
          <w:szCs w:val="24"/>
          <w:lang w:val="en-US" w:eastAsia="zh-CN" w:bidi="ar-SA"/>
        </w:rPr>
        <w:t>2</w:t>
      </w:r>
      <w:r>
        <w:rPr>
          <w:rFonts w:hint="default" w:cs="Times New Roman" w:asciiTheme="majorEastAsia" w:hAnsiTheme="majorEastAsia" w:eastAsiaTheme="majorEastAsia"/>
          <w:b w:val="0"/>
          <w:bCs/>
          <w:color w:val="auto"/>
          <w:sz w:val="24"/>
          <w:szCs w:val="24"/>
          <w:lang w:val="en-US" w:eastAsia="zh-CN" w:bidi="ar-SA"/>
        </w:rPr>
        <w:t>．</w:t>
      </w:r>
      <w:r>
        <w:rPr>
          <w:rFonts w:hint="eastAsia" w:asciiTheme="majorEastAsia" w:hAnsiTheme="majorEastAsia" w:eastAsiaTheme="majorEastAsia"/>
          <w:b w:val="0"/>
          <w:bCs/>
          <w:color w:val="auto"/>
          <w:sz w:val="24"/>
          <w:szCs w:val="24"/>
        </w:rPr>
        <w:t>投标人拥有以下大型先进设备仪器：①数字 X 光机；②心电图机；③全自动血球分析仪；④全自动生化分析仪等。</w:t>
      </w:r>
    </w:p>
    <w:p>
      <w:pPr>
        <w:ind w:firstLine="480" w:firstLineChars="200"/>
        <w:rPr>
          <w:rFonts w:hint="eastAsia" w:ascii="宋体" w:hAnsi="宋体" w:eastAsia="宋体" w:cs="宋体"/>
          <w:color w:val="auto"/>
          <w:sz w:val="24"/>
          <w:szCs w:val="24"/>
          <w:lang w:val="en-US" w:eastAsia="zh-CN"/>
        </w:rPr>
      </w:pPr>
      <w:bookmarkStart w:id="0" w:name="_Toc519960129"/>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新生体检项目（包括但不限于以下项目）：</w:t>
      </w:r>
      <w:bookmarkEnd w:id="0"/>
    </w:p>
    <w:tbl>
      <w:tblPr>
        <w:tblStyle w:val="17"/>
        <w:tblW w:w="4998" w:type="pct"/>
        <w:tblInd w:w="0" w:type="dxa"/>
        <w:tblLayout w:type="autofit"/>
        <w:tblCellMar>
          <w:top w:w="0" w:type="dxa"/>
          <w:left w:w="0" w:type="dxa"/>
          <w:bottom w:w="0" w:type="dxa"/>
          <w:right w:w="0" w:type="dxa"/>
        </w:tblCellMar>
      </w:tblPr>
      <w:tblGrid>
        <w:gridCol w:w="1081"/>
        <w:gridCol w:w="1500"/>
        <w:gridCol w:w="6983"/>
      </w:tblGrid>
      <w:tr>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序号</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检查项目</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检查内容</w:t>
            </w:r>
          </w:p>
        </w:tc>
      </w:tr>
      <w:tr>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一般检查</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身高、体重、血压</w:t>
            </w:r>
          </w:p>
        </w:tc>
      </w:tr>
      <w:tr>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内科</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（包括脉搏、心肺、肝脾、肺结核病症状筛选）</w:t>
            </w:r>
          </w:p>
        </w:tc>
      </w:tr>
      <w:tr>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3</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外科</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（包括头部、颈部、甲状腺、胸部、腹部、脊柱、四肢、皮肤）</w:t>
            </w:r>
          </w:p>
        </w:tc>
      </w:tr>
      <w:tr>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4</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五官科</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（包括视力、辨色力、耳、听力、嗅觉、眼鼻、喉、扁桃体）</w:t>
            </w:r>
          </w:p>
        </w:tc>
      </w:tr>
      <w:tr>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5</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化验</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血常规、肝功能：（谷丙转氨酶、谷草转氨酶、总蛋白、白蛋白、球蛋白、总胆红素、直接胆红素、间接胆红素）</w:t>
            </w:r>
          </w:p>
        </w:tc>
      </w:tr>
      <w:tr>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6</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DR</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胸部正位片</w:t>
            </w:r>
          </w:p>
        </w:tc>
      </w:tr>
    </w:tbl>
    <w:p>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4.投标人须提供体检服务专用车辆及设备到学院三个校区一个教学点为学院新生完成体检服务。（北山湾校区：汕头市濠江区北山湾路32号；金新校区：汕头市金平区金新路85号；梅州校区：梅州市梅江区环市北路63号；饶平教学点：饶平县黄冈大道李厝村路段北侧）</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（四）服务项目要求</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 xml:space="preserve">1.体检场地由采购人提供，体检所需一切仪器、设备由成交人提供，并承担包括一次性   </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消耗用品费、检验费、人工费、税费等一切费用。</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2.抽血用品全部使用一次性真空采血针头及封闭试管，保证检验结果的准确率达到 99.9%。</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240" w:hanging="240" w:hangingChars="1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3.需具备体检资质的医疗机构为学生体检，提供至少 20 人以上的上门体检服务团队。各科医务人员须配备合理、足够，并注明每天参加体检各科医生的人数，提供主检医生名单。体检时须按要求配备设备设施，要求内科项目至少要有 2 个主治医生，胸部 DR(DR车入校检查）项目至少要有 1 个主治医生，</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240" w:hanging="240" w:hangingChars="1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4.由成交人提供学生体检表，提前 3 个工作日将空白体检表交给学院学生工作部，如遇体检表遗失、漏报或其他原因遗失体检表应予及时补发。</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240" w:hanging="240" w:hangingChars="1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5.体检报告应由副高或以上职称医生填写（内容包括检验结果及建议），并由成交人在每个学生纸质体检表的体检报告上加盖其体检中心的印章。集中体检完毕后的 15个工作日内将该时间段内体检人员体检结果以班级为单位的纸质及电子文档（excel 文档或原始数据库）形式提交给采购人，纸质体检结果按校区、二级学院、专业班级整理（并在封面处标注体检人员的姓名、性别、班级等资料）。将异常结果分类汇总并附上处理建议反馈给采购人。其中胸部 DR、心脏听诊异常的当天给出结果，ALT、AST 超过参考值 2 倍的尽快提供结果，以便做好防治工作。并提供一份所有体检人员的汇总体检资料及一份电子文档（U 盘），按校区、二级学院、班级分类汇总交给采购人。成交人应对参检学生个人信息做好保密工作，防止外泄，成交人应具备信息安全保障能力，有义务保护参检学生的隐私。遇有特殊情况，如检出急性传染病、恶性肿瘤等应立即通知采购人。</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240" w:hanging="240" w:hangingChars="1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6.各校区每天必须保证安排足够胸片车（需提供每台胸片车行驶证、车辆登记证复印件并加盖公章。如为租赁车辆，还需提供在租赁期内的有效租赁合同并加盖公章）。</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240" w:hanging="240" w:hangingChars="1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7.设学生体检专场，每个校区每天体检人数由采购人安排决定，且每天体检须在当天下午 15:00 前完成。</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240" w:hanging="240" w:hangingChars="1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8.四个校区体检工作要在同一个月同一周内完成，具体体检时间由采购人根据新生入学时间决定，成交人不得因医护人员不够和检测仪器不够为由，拖延各校区体检进度。</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240" w:hanging="240" w:hangingChars="1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9.体检服务须保证质量，若有证据表明或者经权威鉴定，成交人的体检结果出现重大错误的情况，采购人有权追究成交人相应责任及要求相应赔偿。成交人须设立服务质量投诉电话和服务质量征求意见表，对服务质量进行跟踪调查。</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10.成交人体检期间应认真遵守职业道德和行业规范，认真做好服务工作，保证体检现场工作和资料汇总的按时完成，不得向学生做任何宣传广告。</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11.成交人不能将体检业务转包、分包给其他单位。</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12.体检必须按规程操作，按行业规范确定体检方案和方法，保障学生的安全。</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13.成交人未按服务项目要求完成或完成不彻底，须按要求重新安排体检，且采购人有权提出终止合约，由此造成的一切后果由成交人承担。</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14.体检工作中产生的医疗垃圾由成交人自行带走并处理。</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15.每次体检的具体时间由采购人提前 7 天告知成交人，成交人必须按采购人要求的时间有序安排体检。</w:t>
      </w:r>
    </w:p>
    <w:p>
      <w:pPr>
        <w:pStyle w:val="7"/>
        <w:numPr>
          <w:ilvl w:val="0"/>
          <w:numId w:val="0"/>
        </w:numPr>
        <w:tabs>
          <w:tab w:val="left" w:pos="540"/>
        </w:tabs>
        <w:snapToGrid w:val="0"/>
        <w:spacing w:line="360" w:lineRule="auto"/>
        <w:ind w:leftChars="0"/>
        <w:rPr>
          <w:rFonts w:cs="宋体" w:asciiTheme="majorEastAsia" w:hAnsiTheme="majorEastAsia" w:eastAsiaTheme="majorEastAsia"/>
          <w:b/>
          <w:color w:val="auto"/>
          <w:sz w:val="24"/>
          <w:szCs w:val="24"/>
          <w:lang w:eastAsia="zh-TW"/>
        </w:rPr>
      </w:pPr>
      <w:r>
        <w:rPr>
          <w:rFonts w:hint="eastAsia" w:cs="宋体" w:asciiTheme="majorEastAsia" w:hAnsiTheme="majorEastAsia" w:eastAsiaTheme="majorEastAsia"/>
          <w:b/>
          <w:color w:val="auto"/>
          <w:sz w:val="24"/>
          <w:szCs w:val="24"/>
          <w:lang w:eastAsia="zh-CN"/>
        </w:rPr>
        <w:t>三、违约责任</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中标人提交的成果有下列情形之一的，采购人将有权解除合同：</w:t>
      </w:r>
    </w:p>
    <w:p>
      <w:pPr>
        <w:pStyle w:val="7"/>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服务工作不符合本项目规定或服务质量严重偏离采购人下达的任务要求的。</w:t>
      </w:r>
    </w:p>
    <w:p>
      <w:pPr>
        <w:pStyle w:val="7"/>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中标人未能履行合同义务，未能统筹协调整体服务工作。</w:t>
      </w:r>
    </w:p>
    <w:p>
      <w:pPr>
        <w:pStyle w:val="7"/>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中标人未经采购人同意，擅自将项目分包或转包的。</w:t>
      </w:r>
    </w:p>
    <w:p>
      <w:pPr>
        <w:pStyle w:val="7"/>
        <w:numPr>
          <w:ilvl w:val="0"/>
          <w:numId w:val="0"/>
        </w:numPr>
        <w:tabs>
          <w:tab w:val="left" w:pos="540"/>
        </w:tabs>
        <w:snapToGrid w:val="0"/>
        <w:spacing w:line="360" w:lineRule="auto"/>
        <w:ind w:leftChars="0"/>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lang w:eastAsia="zh-CN"/>
        </w:rPr>
        <w:t>四、</w:t>
      </w:r>
      <w:r>
        <w:rPr>
          <w:rFonts w:hint="eastAsia" w:cs="宋体" w:asciiTheme="majorEastAsia" w:hAnsiTheme="majorEastAsia" w:eastAsiaTheme="majorEastAsia"/>
          <w:b/>
          <w:color w:val="auto"/>
          <w:sz w:val="24"/>
          <w:szCs w:val="24"/>
        </w:rPr>
        <w:t>付款及结算方式</w:t>
      </w:r>
    </w:p>
    <w:p>
      <w:pPr>
        <w:widowControl/>
        <w:numPr>
          <w:ilvl w:val="0"/>
          <w:numId w:val="0"/>
        </w:numPr>
        <w:tabs>
          <w:tab w:val="left" w:pos="567"/>
        </w:tabs>
        <w:autoSpaceDE w:val="0"/>
        <w:autoSpaceDN w:val="0"/>
        <w:snapToGrid w:val="0"/>
        <w:spacing w:line="360" w:lineRule="auto"/>
        <w:ind w:leftChars="0" w:firstLine="480" w:firstLineChars="200"/>
        <w:jc w:val="left"/>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lang w:val="en-US" w:eastAsia="zh-CN"/>
        </w:rPr>
        <w:t>服务完成后，由学生以班级为单位采用微信进行支付</w:t>
      </w:r>
      <w:r>
        <w:rPr>
          <w:rFonts w:hint="eastAsia" w:cs="宋体" w:asciiTheme="majorEastAsia" w:hAnsiTheme="majorEastAsia" w:eastAsiaTheme="majorEastAsia"/>
          <w:color w:val="auto"/>
          <w:sz w:val="24"/>
          <w:szCs w:val="24"/>
        </w:rPr>
        <w:t>。</w:t>
      </w:r>
    </w:p>
    <w:p>
      <w:pPr>
        <w:snapToGrid w:val="0"/>
        <w:spacing w:line="400" w:lineRule="exact"/>
        <w:rPr>
          <w:rFonts w:ascii="宋体" w:hAnsi="宋体"/>
          <w:b/>
          <w:sz w:val="24"/>
        </w:rPr>
      </w:pPr>
      <w:r>
        <w:rPr>
          <w:rFonts w:hint="eastAsia" w:ascii="宋体" w:hAnsi="宋体"/>
          <w:b/>
          <w:sz w:val="24"/>
          <w:lang w:eastAsia="zh-CN"/>
        </w:rPr>
        <w:t>五</w:t>
      </w:r>
      <w:r>
        <w:rPr>
          <w:rFonts w:hint="eastAsia" w:ascii="宋体" w:hAnsi="宋体"/>
          <w:b/>
          <w:sz w:val="24"/>
        </w:rPr>
        <w:t>、投标报价</w:t>
      </w:r>
    </w:p>
    <w:p>
      <w:pPr>
        <w:spacing w:line="360" w:lineRule="auto"/>
        <w:ind w:firstLine="420"/>
        <w:rPr>
          <w:rFonts w:ascii="宋体" w:hAnsi="宋体"/>
          <w:color w:val="000000"/>
          <w:sz w:val="24"/>
        </w:rPr>
      </w:pPr>
      <w:r>
        <w:rPr>
          <w:rFonts w:hint="eastAsia" w:ascii="宋体" w:hAnsi="宋体"/>
          <w:color w:val="000000"/>
          <w:sz w:val="24"/>
        </w:rPr>
        <w:t>（一）投标报价的文件和编制要求</w:t>
      </w:r>
    </w:p>
    <w:p>
      <w:pPr>
        <w:spacing w:line="360" w:lineRule="auto"/>
        <w:ind w:firstLine="420"/>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投标人需按招标人提供的《报价函》进行报价，提供《报价函》并由法人代表或授权代表（授权代表需附法人授权书）签名加盖公章。各投标人的项目总报价必须低于本项目的采购预算，且不能低于投标人的企业成本，否则作无效标处理。</w:t>
      </w:r>
    </w:p>
    <w:p>
      <w:pPr>
        <w:keepNext w:val="0"/>
        <w:keepLines w:val="0"/>
        <w:pageBreakBefore w:val="0"/>
        <w:widowControl w:val="0"/>
        <w:numPr>
          <w:ilvl w:val="0"/>
          <w:numId w:val="0"/>
        </w:numPr>
        <w:shd w:val="clear" w:color="auto" w:fill="auto"/>
        <w:tabs>
          <w:tab w:val="left" w:pos="525"/>
          <w:tab w:val="left" w:pos="846"/>
        </w:tabs>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9"/>
        <w:rPr>
          <w:rFonts w:hint="eastAsia" w:ascii="宋体" w:hAnsi="宋体" w:eastAsia="宋体" w:cs="宋体"/>
          <w:snapToGrid w:val="0"/>
          <w:color w:val="auto"/>
          <w:sz w:val="24"/>
          <w:szCs w:val="24"/>
          <w:lang w:val="en-US" w:eastAsia="zh-CN"/>
        </w:rPr>
      </w:pPr>
      <w:r>
        <w:rPr>
          <w:rFonts w:hint="eastAsia" w:asciiTheme="majorEastAsia" w:hAnsiTheme="majorEastAsia" w:eastAsiaTheme="majorEastAsia"/>
          <w:b w:val="0"/>
          <w:bCs/>
          <w:color w:val="auto"/>
          <w:sz w:val="24"/>
          <w:szCs w:val="24"/>
          <w:lang w:val="en-US" w:eastAsia="zh-CN"/>
        </w:rPr>
        <w:t>2.本项目进行单价报价。最终结算金额=</w:t>
      </w:r>
      <w:r>
        <w:rPr>
          <w:rFonts w:hint="eastAsia" w:cs="宋体" w:asciiTheme="majorEastAsia" w:hAnsiTheme="majorEastAsia" w:eastAsiaTheme="majorEastAsia"/>
          <w:color w:val="auto"/>
          <w:sz w:val="24"/>
          <w:szCs w:val="24"/>
        </w:rPr>
        <w:t>实际体检人数</w:t>
      </w:r>
      <w:r>
        <w:rPr>
          <w:rFonts w:hint="eastAsia" w:asciiTheme="majorEastAsia" w:hAnsiTheme="majorEastAsia" w:eastAsiaTheme="majorEastAsia"/>
          <w:b w:val="0"/>
          <w:bCs/>
          <w:color w:val="auto"/>
          <w:sz w:val="24"/>
          <w:szCs w:val="24"/>
          <w:lang w:val="en-US" w:eastAsia="zh-CN"/>
        </w:rPr>
        <w:t>*中标单价，据实结算。</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rPr>
      </w:pPr>
      <w:r>
        <w:rPr>
          <w:rFonts w:hint="eastAsia" w:asciiTheme="majorEastAsia" w:hAnsiTheme="majorEastAsia" w:eastAsiaTheme="majorEastAsia"/>
          <w:b w:val="0"/>
          <w:bCs/>
          <w:color w:val="auto"/>
          <w:sz w:val="24"/>
          <w:szCs w:val="24"/>
          <w:lang w:val="en-US" w:eastAsia="zh-CN"/>
        </w:rPr>
        <w:t>3.</w:t>
      </w:r>
      <w:r>
        <w:rPr>
          <w:rFonts w:hint="eastAsia" w:asciiTheme="majorEastAsia" w:hAnsiTheme="majorEastAsia" w:eastAsiaTheme="majorEastAsia"/>
          <w:b w:val="0"/>
          <w:bCs/>
          <w:color w:val="auto"/>
          <w:sz w:val="24"/>
          <w:szCs w:val="24"/>
        </w:rPr>
        <w:t>投标人应对所有的招标内容进行投标，不允许只对部分内容进行投标。</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rPr>
      </w:pPr>
      <w:r>
        <w:rPr>
          <w:rFonts w:hint="eastAsia" w:asciiTheme="majorEastAsia" w:hAnsiTheme="majorEastAsia" w:eastAsiaTheme="majorEastAsia"/>
          <w:b w:val="0"/>
          <w:bCs/>
          <w:color w:val="auto"/>
          <w:sz w:val="24"/>
          <w:szCs w:val="24"/>
          <w:lang w:val="en-US" w:eastAsia="zh-CN"/>
        </w:rPr>
        <w:t>4.</w:t>
      </w:r>
      <w:r>
        <w:rPr>
          <w:rFonts w:hint="eastAsia" w:asciiTheme="majorEastAsia" w:hAnsiTheme="majorEastAsia" w:eastAsiaTheme="majorEastAsia"/>
          <w:b w:val="0"/>
          <w:bCs/>
          <w:color w:val="auto"/>
          <w:sz w:val="24"/>
          <w:szCs w:val="24"/>
        </w:rPr>
        <w:t>投标价格包括:所有体检项目所需一次性消耗品、检验费、人工费、税费及检查仪器等一切费用。中标后不得再向采购方收取任何费用。所有价格均应以人民币报价，金额单位为元。</w:t>
      </w:r>
    </w:p>
    <w:p>
      <w:pPr>
        <w:spacing w:line="360" w:lineRule="auto"/>
        <w:ind w:firstLine="420"/>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提供评分标准和细则要求提供的相关资料。</w:t>
      </w:r>
    </w:p>
    <w:p>
      <w:pPr>
        <w:spacing w:line="360" w:lineRule="auto"/>
        <w:ind w:firstLine="420"/>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提供有效的营业执照、法人代表身份证复印件（加盖投标人法人公章）。</w:t>
      </w:r>
    </w:p>
    <w:p>
      <w:pPr>
        <w:spacing w:line="360" w:lineRule="auto"/>
        <w:ind w:firstLine="420"/>
        <w:rPr>
          <w:rFonts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相关材料连同营业执照、法人代表身份证复印件装在同一密封袋内，在封口处加盖公章。</w:t>
      </w:r>
    </w:p>
    <w:p>
      <w:pPr>
        <w:spacing w:line="360" w:lineRule="auto"/>
        <w:ind w:firstLine="420"/>
        <w:rPr>
          <w:rFonts w:ascii="宋体" w:hAnsi="宋体"/>
          <w:color w:val="000000"/>
          <w:sz w:val="24"/>
        </w:rPr>
      </w:pPr>
      <w:r>
        <w:rPr>
          <w:rFonts w:hint="eastAsia" w:ascii="宋体" w:hAnsi="宋体"/>
          <w:color w:val="000000"/>
          <w:sz w:val="24"/>
        </w:rPr>
        <w:t>（二）标书编制的有关要求</w:t>
      </w:r>
    </w:p>
    <w:p>
      <w:pPr>
        <w:spacing w:line="360" w:lineRule="auto"/>
        <w:ind w:firstLine="420"/>
        <w:rPr>
          <w:rFonts w:ascii="宋体" w:hAnsi="宋体"/>
          <w:color w:val="000000"/>
          <w:sz w:val="24"/>
        </w:rPr>
      </w:pPr>
      <w:r>
        <w:rPr>
          <w:rFonts w:hint="eastAsia" w:ascii="宋体" w:hAnsi="宋体"/>
          <w:color w:val="000000"/>
          <w:sz w:val="24"/>
        </w:rPr>
        <w:t>1.投标人应充分分析市场的价格变动风险及本单位的承受能力，并不得低于成本价。</w:t>
      </w:r>
    </w:p>
    <w:p>
      <w:pPr>
        <w:spacing w:line="360" w:lineRule="auto"/>
        <w:ind w:firstLine="420"/>
        <w:rPr>
          <w:rFonts w:ascii="宋体" w:hAnsi="宋体"/>
          <w:color w:val="000000"/>
          <w:sz w:val="24"/>
        </w:rPr>
      </w:pPr>
      <w:r>
        <w:rPr>
          <w:rFonts w:hint="eastAsia" w:ascii="宋体" w:hAnsi="宋体"/>
          <w:color w:val="000000"/>
          <w:sz w:val="24"/>
        </w:rPr>
        <w:t>2.报价依据</w:t>
      </w:r>
    </w:p>
    <w:p>
      <w:pPr>
        <w:spacing w:line="360" w:lineRule="auto"/>
        <w:ind w:firstLine="420"/>
        <w:rPr>
          <w:rFonts w:ascii="宋体" w:hAnsi="宋体"/>
          <w:color w:val="000000"/>
          <w:sz w:val="24"/>
        </w:rPr>
      </w:pPr>
      <w:r>
        <w:rPr>
          <w:rFonts w:hint="eastAsia" w:ascii="宋体" w:hAnsi="宋体"/>
          <w:color w:val="000000"/>
          <w:sz w:val="24"/>
        </w:rPr>
        <w:t>﹙1﹚投标人按市场价并结合企业自身实力、技术和资金能力，以及企业自身素质进行报价。</w:t>
      </w:r>
    </w:p>
    <w:p>
      <w:pPr>
        <w:spacing w:line="360" w:lineRule="auto"/>
        <w:ind w:firstLine="420"/>
        <w:rPr>
          <w:rFonts w:ascii="宋体" w:hAnsi="宋体"/>
          <w:color w:val="auto"/>
          <w:sz w:val="24"/>
        </w:rPr>
      </w:pPr>
      <w:r>
        <w:rPr>
          <w:rFonts w:hint="eastAsia" w:ascii="宋体" w:hAnsi="宋体"/>
          <w:color w:val="000000"/>
          <w:sz w:val="24"/>
        </w:rPr>
        <w:t>﹙2﹚招</w:t>
      </w:r>
      <w:r>
        <w:rPr>
          <w:rFonts w:hint="eastAsia" w:ascii="宋体" w:hAnsi="宋体"/>
          <w:color w:val="auto"/>
          <w:sz w:val="24"/>
        </w:rPr>
        <w:t>标文件。</w:t>
      </w:r>
    </w:p>
    <w:p>
      <w:pPr>
        <w:spacing w:line="360" w:lineRule="auto"/>
        <w:ind w:firstLine="420"/>
        <w:rPr>
          <w:rFonts w:ascii="宋体" w:hAnsi="宋体"/>
          <w:color w:val="auto"/>
          <w:sz w:val="24"/>
        </w:rPr>
      </w:pPr>
      <w:r>
        <w:rPr>
          <w:rFonts w:hint="eastAsia" w:ascii="宋体" w:hAnsi="宋体"/>
          <w:color w:val="auto"/>
          <w:sz w:val="24"/>
        </w:rPr>
        <w:t>﹙3﹚市场竞争。</w:t>
      </w:r>
    </w:p>
    <w:p>
      <w:pPr>
        <w:spacing w:line="360" w:lineRule="auto"/>
        <w:ind w:firstLine="420"/>
        <w:rPr>
          <w:rFonts w:ascii="宋体" w:hAnsi="宋体"/>
          <w:color w:val="auto"/>
          <w:sz w:val="24"/>
        </w:rPr>
      </w:pPr>
      <w:r>
        <w:rPr>
          <w:rFonts w:hint="eastAsia" w:ascii="宋体" w:hAnsi="宋体"/>
          <w:color w:val="auto"/>
          <w:sz w:val="24"/>
        </w:rPr>
        <w:t>﹙4﹚国家现行的技术规范和省市有关管理规定。</w:t>
      </w:r>
    </w:p>
    <w:p>
      <w:pPr>
        <w:spacing w:line="400" w:lineRule="exact"/>
        <w:ind w:firstLine="420"/>
        <w:rPr>
          <w:rFonts w:ascii="宋体" w:hAnsi="宋体"/>
          <w:b/>
          <w:color w:val="auto"/>
          <w:sz w:val="24"/>
        </w:rPr>
      </w:pPr>
      <w:r>
        <w:rPr>
          <w:rFonts w:hint="eastAsia" w:ascii="宋体" w:hAnsi="宋体"/>
          <w:b/>
          <w:color w:val="auto"/>
          <w:sz w:val="24"/>
          <w:lang w:eastAsia="zh-CN"/>
        </w:rPr>
        <w:t>六</w:t>
      </w:r>
      <w:r>
        <w:rPr>
          <w:rFonts w:hint="eastAsia" w:ascii="宋体" w:hAnsi="宋体"/>
          <w:b/>
          <w:color w:val="auto"/>
          <w:sz w:val="24"/>
        </w:rPr>
        <w:t>、评审方法</w:t>
      </w:r>
    </w:p>
    <w:p>
      <w:pPr>
        <w:spacing w:line="360" w:lineRule="auto"/>
        <w:ind w:firstLine="420"/>
        <w:rPr>
          <w:rFonts w:ascii="宋体" w:hAnsi="宋体"/>
          <w:color w:val="auto"/>
          <w:sz w:val="24"/>
        </w:rPr>
      </w:pPr>
      <w:r>
        <w:rPr>
          <w:rFonts w:hint="eastAsia" w:ascii="宋体" w:hAnsi="宋体"/>
          <w:color w:val="auto"/>
          <w:sz w:val="24"/>
        </w:rPr>
        <w:t>（一）评审依据</w:t>
      </w:r>
    </w:p>
    <w:p>
      <w:pPr>
        <w:spacing w:line="360" w:lineRule="auto"/>
        <w:ind w:firstLine="420"/>
        <w:rPr>
          <w:rFonts w:ascii="宋体" w:hAnsi="宋体"/>
          <w:color w:val="auto"/>
          <w:sz w:val="24"/>
        </w:rPr>
      </w:pPr>
      <w:r>
        <w:rPr>
          <w:rFonts w:hint="eastAsia" w:ascii="宋体" w:hAnsi="宋体"/>
          <w:color w:val="auto"/>
          <w:sz w:val="24"/>
        </w:rPr>
        <w:t>评审工作依据国家及省、市颁布的有关法律、法规和广东省粤东技师学院关于采购管理的有关规定。</w:t>
      </w:r>
    </w:p>
    <w:p>
      <w:pPr>
        <w:spacing w:line="360" w:lineRule="auto"/>
        <w:ind w:firstLine="420"/>
        <w:rPr>
          <w:rFonts w:ascii="宋体" w:hAnsi="宋体"/>
          <w:color w:val="auto"/>
          <w:sz w:val="24"/>
        </w:rPr>
      </w:pPr>
      <w:bookmarkStart w:id="1" w:name="_Hlt98173565"/>
      <w:bookmarkEnd w:id="1"/>
      <w:bookmarkStart w:id="2" w:name="_Toc402856446"/>
      <w:r>
        <w:rPr>
          <w:rFonts w:hint="eastAsia" w:ascii="宋体" w:hAnsi="宋体"/>
          <w:color w:val="auto"/>
          <w:sz w:val="24"/>
        </w:rPr>
        <w:t>（二）评审方法</w:t>
      </w:r>
    </w:p>
    <w:p>
      <w:pPr>
        <w:spacing w:line="360" w:lineRule="auto"/>
        <w:ind w:firstLine="420"/>
        <w:rPr>
          <w:rFonts w:ascii="宋体" w:hAnsi="宋体"/>
          <w:color w:val="auto"/>
          <w:sz w:val="24"/>
        </w:rPr>
      </w:pPr>
      <w:r>
        <w:rPr>
          <w:rFonts w:hint="eastAsia" w:ascii="宋体" w:hAnsi="宋体"/>
          <w:color w:val="auto"/>
          <w:sz w:val="24"/>
        </w:rPr>
        <w:t>1、由广东省粤东技师学院组成评标委员会首先对投标人的投标文件按招标文件的规定进行有效性的审查，无效投标文件不得进入下一程序。有效投标文件必须三家或三家以上，否则重新招标。</w:t>
      </w:r>
    </w:p>
    <w:p>
      <w:pPr>
        <w:spacing w:line="360" w:lineRule="auto"/>
        <w:ind w:firstLine="420"/>
        <w:rPr>
          <w:rFonts w:ascii="宋体" w:hAnsi="宋体"/>
          <w:color w:val="auto"/>
          <w:sz w:val="24"/>
        </w:rPr>
      </w:pPr>
      <w:r>
        <w:rPr>
          <w:rFonts w:hint="eastAsia" w:ascii="宋体" w:hAnsi="宋体"/>
          <w:color w:val="auto"/>
          <w:sz w:val="24"/>
        </w:rPr>
        <w:t>2、本项目采用以下评标办法确定中标人：采用综合评分法。供应商能完全响应招标文件的前提下，综合评分最高的供应商为中标单位。</w:t>
      </w:r>
    </w:p>
    <w:bookmarkEnd w:id="2"/>
    <w:p>
      <w:pPr>
        <w:spacing w:line="360" w:lineRule="auto"/>
        <w:ind w:firstLine="420"/>
        <w:rPr>
          <w:rFonts w:ascii="宋体" w:hAnsi="宋体"/>
          <w:color w:val="auto"/>
          <w:sz w:val="24"/>
        </w:rPr>
      </w:pPr>
      <w:r>
        <w:rPr>
          <w:rFonts w:hint="eastAsia" w:ascii="宋体" w:hAnsi="宋体"/>
          <w:color w:val="auto"/>
          <w:sz w:val="24"/>
        </w:rPr>
        <w:t>评分标准和细则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pPr>
              <w:adjustRightInd w:val="0"/>
              <w:snapToGrid w:val="0"/>
              <w:jc w:val="center"/>
              <w:rPr>
                <w:rFonts w:ascii="宋体" w:hAnsi="宋体" w:cs="宋体"/>
                <w:color w:val="auto"/>
                <w:sz w:val="24"/>
              </w:rPr>
            </w:pPr>
            <w:r>
              <w:rPr>
                <w:rFonts w:hint="eastAsia" w:ascii="宋体" w:hAnsi="宋体" w:cs="宋体"/>
                <w:color w:val="auto"/>
                <w:sz w:val="24"/>
              </w:rPr>
              <w:t>评分因素</w:t>
            </w:r>
          </w:p>
        </w:tc>
        <w:tc>
          <w:tcPr>
            <w:tcW w:w="4786" w:type="dxa"/>
            <w:noWrap/>
            <w:vAlign w:val="center"/>
          </w:tcPr>
          <w:p>
            <w:pPr>
              <w:adjustRightInd w:val="0"/>
              <w:snapToGrid w:val="0"/>
              <w:jc w:val="center"/>
              <w:rPr>
                <w:rFonts w:hint="eastAsia" w:ascii="宋体" w:hAnsi="宋体" w:eastAsia="宋体" w:cs="宋体"/>
                <w:color w:val="auto"/>
                <w:sz w:val="24"/>
                <w:lang w:eastAsia="zh-CN"/>
              </w:rPr>
            </w:pPr>
            <w:r>
              <w:rPr>
                <w:rFonts w:hint="eastAsia" w:ascii="宋体" w:hAnsi="宋体" w:cs="宋体"/>
                <w:color w:val="auto"/>
                <w:sz w:val="24"/>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pPr>
              <w:adjustRightInd w:val="0"/>
              <w:snapToGrid w:val="0"/>
              <w:jc w:val="center"/>
              <w:rPr>
                <w:rFonts w:hint="eastAsia" w:ascii="宋体" w:hAnsi="宋体" w:eastAsia="宋体" w:cs="宋体"/>
                <w:color w:val="auto"/>
                <w:sz w:val="24"/>
                <w:lang w:eastAsia="zh-CN"/>
              </w:rPr>
            </w:pPr>
            <w:r>
              <w:rPr>
                <w:rFonts w:hint="eastAsia" w:ascii="宋体" w:hAnsi="宋体" w:cs="宋体"/>
                <w:color w:val="auto"/>
                <w:sz w:val="24"/>
              </w:rPr>
              <w:t>1、价格</w:t>
            </w:r>
          </w:p>
        </w:tc>
        <w:tc>
          <w:tcPr>
            <w:tcW w:w="4786" w:type="dxa"/>
            <w:noWrap/>
            <w:vAlign w:val="center"/>
          </w:tcPr>
          <w:p>
            <w:pPr>
              <w:adjustRightInd w:val="0"/>
              <w:snapToGrid w:val="0"/>
              <w:jc w:val="center"/>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pPr>
              <w:adjustRightInd w:val="0"/>
              <w:snapToGrid w:val="0"/>
              <w:jc w:val="center"/>
              <w:rPr>
                <w:rFonts w:ascii="宋体" w:hAnsi="宋体" w:cs="宋体"/>
                <w:color w:val="auto"/>
                <w:sz w:val="24"/>
              </w:rPr>
            </w:pPr>
            <w:r>
              <w:rPr>
                <w:rFonts w:hint="eastAsia" w:ascii="宋体" w:hAnsi="宋体" w:cs="宋体"/>
                <w:color w:val="auto"/>
                <w:sz w:val="24"/>
              </w:rPr>
              <w:t>2、商务</w:t>
            </w:r>
            <w:r>
              <w:rPr>
                <w:rFonts w:hint="eastAsia" w:ascii="宋体" w:hAnsi="宋体" w:cs="宋体"/>
                <w:color w:val="auto"/>
                <w:sz w:val="24"/>
                <w:lang w:eastAsia="zh-CN"/>
              </w:rPr>
              <w:t>技术</w:t>
            </w:r>
          </w:p>
        </w:tc>
        <w:tc>
          <w:tcPr>
            <w:tcW w:w="4786" w:type="dxa"/>
            <w:noWrap/>
            <w:vAlign w:val="center"/>
          </w:tcPr>
          <w:p>
            <w:pPr>
              <w:adjustRightInd w:val="0"/>
              <w:snapToGrid w:val="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70</w:t>
            </w:r>
          </w:p>
        </w:tc>
      </w:tr>
    </w:tbl>
    <w:p>
      <w:pPr>
        <w:spacing w:line="400" w:lineRule="exact"/>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（1）商务</w:t>
      </w:r>
      <w:r>
        <w:rPr>
          <w:rFonts w:hint="eastAsia" w:ascii="宋体" w:hAnsi="宋体"/>
          <w:color w:val="auto"/>
          <w:sz w:val="24"/>
          <w:lang w:eastAsia="zh-CN"/>
        </w:rPr>
        <w:t>技术</w:t>
      </w:r>
      <w:r>
        <w:rPr>
          <w:rFonts w:hint="eastAsia" w:ascii="宋体" w:hAnsi="宋体"/>
          <w:color w:val="auto"/>
          <w:sz w:val="24"/>
        </w:rPr>
        <w:t>评分：</w:t>
      </w:r>
      <w:r>
        <w:rPr>
          <w:rFonts w:hint="eastAsia" w:ascii="宋体" w:hAnsi="宋体"/>
          <w:color w:val="auto"/>
          <w:sz w:val="24"/>
          <w:lang w:val="en-US" w:eastAsia="zh-CN"/>
        </w:rPr>
        <w:t>7</w:t>
      </w:r>
      <w:r>
        <w:rPr>
          <w:rFonts w:hint="eastAsia" w:ascii="宋体" w:hAnsi="宋体"/>
          <w:color w:val="auto"/>
          <w:sz w:val="24"/>
        </w:rPr>
        <w:t>0分</w:t>
      </w:r>
    </w:p>
    <w:tbl>
      <w:tblPr>
        <w:tblStyle w:val="17"/>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261"/>
        <w:gridCol w:w="576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adjustRightInd w:val="0"/>
              <w:snapToGrid w:val="0"/>
              <w:jc w:val="center"/>
              <w:rPr>
                <w:rFonts w:ascii="宋体"/>
                <w:b/>
                <w:bCs/>
                <w:color w:val="auto"/>
                <w:szCs w:val="21"/>
              </w:rPr>
            </w:pPr>
            <w:r>
              <w:rPr>
                <w:rFonts w:hint="eastAsia" w:ascii="宋体" w:hAnsi="宋体" w:cs="宋体"/>
                <w:b/>
                <w:bCs/>
                <w:color w:val="auto"/>
                <w:szCs w:val="21"/>
              </w:rPr>
              <w:t>序号</w:t>
            </w:r>
          </w:p>
        </w:tc>
        <w:tc>
          <w:tcPr>
            <w:tcW w:w="2261" w:type="dxa"/>
            <w:tcMar>
              <w:top w:w="85" w:type="dxa"/>
              <w:bottom w:w="85" w:type="dxa"/>
            </w:tcMar>
            <w:vAlign w:val="center"/>
          </w:tcPr>
          <w:p>
            <w:pPr>
              <w:adjustRightInd w:val="0"/>
              <w:snapToGrid w:val="0"/>
              <w:jc w:val="center"/>
              <w:rPr>
                <w:rFonts w:ascii="宋体"/>
                <w:b/>
                <w:bCs/>
                <w:color w:val="auto"/>
                <w:szCs w:val="21"/>
              </w:rPr>
            </w:pPr>
            <w:r>
              <w:rPr>
                <w:rFonts w:hint="eastAsia" w:ascii="宋体" w:hAnsi="宋体" w:cs="宋体"/>
                <w:b/>
                <w:bCs/>
                <w:color w:val="auto"/>
                <w:szCs w:val="21"/>
              </w:rPr>
              <w:t>评审项目</w:t>
            </w:r>
          </w:p>
        </w:tc>
        <w:tc>
          <w:tcPr>
            <w:tcW w:w="5760" w:type="dxa"/>
            <w:tcMar>
              <w:top w:w="85" w:type="dxa"/>
              <w:bottom w:w="85" w:type="dxa"/>
            </w:tcMar>
            <w:vAlign w:val="center"/>
          </w:tcPr>
          <w:p>
            <w:pPr>
              <w:adjustRightInd w:val="0"/>
              <w:snapToGrid w:val="0"/>
              <w:jc w:val="center"/>
              <w:rPr>
                <w:rFonts w:ascii="宋体"/>
                <w:b/>
                <w:bCs/>
                <w:color w:val="auto"/>
                <w:szCs w:val="21"/>
              </w:rPr>
            </w:pPr>
            <w:r>
              <w:rPr>
                <w:rFonts w:hint="eastAsia" w:ascii="宋体" w:hAnsi="宋体" w:cs="宋体"/>
                <w:b/>
                <w:bCs/>
                <w:color w:val="auto"/>
                <w:szCs w:val="21"/>
              </w:rPr>
              <w:t>评分范围</w:t>
            </w:r>
          </w:p>
        </w:tc>
        <w:tc>
          <w:tcPr>
            <w:tcW w:w="862" w:type="dxa"/>
            <w:tcMar>
              <w:top w:w="85" w:type="dxa"/>
              <w:bottom w:w="85" w:type="dxa"/>
            </w:tcMar>
            <w:vAlign w:val="center"/>
          </w:tcPr>
          <w:p>
            <w:pPr>
              <w:adjustRightInd w:val="0"/>
              <w:snapToGrid w:val="0"/>
              <w:jc w:val="center"/>
              <w:rPr>
                <w:rFonts w:ascii="宋体"/>
                <w:b/>
                <w:bCs/>
                <w:color w:val="auto"/>
                <w:szCs w:val="21"/>
              </w:rPr>
            </w:pPr>
            <w:r>
              <w:rPr>
                <w:rFonts w:hint="eastAsia" w:ascii="宋体" w:hAnsi="宋体" w:cs="宋体"/>
                <w:b/>
                <w:bCs/>
                <w:color w:val="auto"/>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adjustRightInd w:val="0"/>
              <w:snapToGrid w:val="0"/>
              <w:jc w:val="center"/>
              <w:rPr>
                <w:rFonts w:hint="eastAsia" w:ascii="宋体" w:hAnsi="宋体" w:eastAsia="宋体" w:cs="宋体"/>
                <w:b/>
                <w:bCs/>
                <w:color w:val="auto"/>
                <w:szCs w:val="21"/>
                <w:lang w:val="en-US" w:eastAsia="zh-CN"/>
              </w:rPr>
            </w:pPr>
            <w:r>
              <w:rPr>
                <w:rFonts w:hint="eastAsia" w:ascii="宋体" w:hAnsi="宋体" w:cs="宋体"/>
                <w:b/>
                <w:bCs/>
                <w:color w:val="auto"/>
                <w:szCs w:val="21"/>
                <w:lang w:val="en-US" w:eastAsia="zh-CN"/>
              </w:rPr>
              <w:t>1</w:t>
            </w:r>
          </w:p>
        </w:tc>
        <w:tc>
          <w:tcPr>
            <w:tcW w:w="2261" w:type="dxa"/>
            <w:tcMar>
              <w:top w:w="85" w:type="dxa"/>
              <w:bottom w:w="85" w:type="dxa"/>
            </w:tcMar>
            <w:vAlign w:val="center"/>
          </w:tcPr>
          <w:p>
            <w:pPr>
              <w:adjustRightInd w:val="0"/>
              <w:snapToGrid w:val="0"/>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eastAsia="zh-CN"/>
              </w:rPr>
              <w:t>资质级别</w:t>
            </w:r>
          </w:p>
        </w:tc>
        <w:tc>
          <w:tcPr>
            <w:tcW w:w="5760" w:type="dxa"/>
            <w:tcMar>
              <w:top w:w="85" w:type="dxa"/>
              <w:bottom w:w="85" w:type="dxa"/>
            </w:tcMar>
            <w:vAlign w:val="center"/>
          </w:tcPr>
          <w:p>
            <w:pPr>
              <w:adjustRightInd w:val="0"/>
              <w:snapToGrid w:val="0"/>
              <w:jc w:val="center"/>
              <w:rPr>
                <w:rFonts w:hint="default" w:ascii="宋体" w:hAnsi="宋体" w:eastAsia="宋体" w:cs="宋体"/>
                <w:b/>
                <w:bCs/>
                <w:color w:val="auto"/>
                <w:szCs w:val="21"/>
                <w:lang w:val="en-US" w:eastAsia="zh-CN"/>
              </w:rPr>
            </w:pPr>
            <w:r>
              <w:rPr>
                <w:rFonts w:hint="eastAsia" w:ascii="宋体" w:hAnsi="宋体" w:cs="宋体"/>
                <w:b w:val="0"/>
                <w:bCs w:val="0"/>
                <w:color w:val="auto"/>
                <w:szCs w:val="21"/>
                <w:lang w:eastAsia="zh-CN"/>
              </w:rPr>
              <w:t>三甲及以上综合性医院资质得</w:t>
            </w:r>
            <w:r>
              <w:rPr>
                <w:rFonts w:hint="eastAsia" w:ascii="宋体" w:hAnsi="宋体" w:cs="宋体"/>
                <w:b w:val="0"/>
                <w:bCs w:val="0"/>
                <w:color w:val="auto"/>
                <w:szCs w:val="21"/>
                <w:lang w:val="en-US" w:eastAsia="zh-CN"/>
              </w:rPr>
              <w:t>12分，三级综合性医院资质得9分，二级综合性医院资质得6分，一级综合性医院及其他资质得3分。</w:t>
            </w:r>
            <w:r>
              <w:rPr>
                <w:rFonts w:hint="eastAsia" w:ascii="宋体" w:hAnsi="宋体"/>
                <w:color w:val="auto"/>
                <w:kern w:val="0"/>
                <w:szCs w:val="21"/>
              </w:rPr>
              <w:t>（注：须提供</w:t>
            </w:r>
            <w:r>
              <w:rPr>
                <w:rFonts w:hint="eastAsia" w:ascii="宋体" w:hAnsi="宋体"/>
                <w:color w:val="auto"/>
                <w:kern w:val="0"/>
                <w:szCs w:val="21"/>
                <w:lang w:eastAsia="zh-CN"/>
              </w:rPr>
              <w:t>资质证书</w:t>
            </w:r>
            <w:r>
              <w:rPr>
                <w:rFonts w:hint="eastAsia" w:ascii="宋体" w:hAnsi="宋体"/>
                <w:color w:val="auto"/>
                <w:kern w:val="0"/>
                <w:szCs w:val="21"/>
              </w:rPr>
              <w:t>原件扫描件并加盖投标人公章。未提供或缺陷不得分）</w:t>
            </w:r>
          </w:p>
        </w:tc>
        <w:tc>
          <w:tcPr>
            <w:tcW w:w="862" w:type="dxa"/>
            <w:tcMar>
              <w:top w:w="85" w:type="dxa"/>
              <w:bottom w:w="85" w:type="dxa"/>
            </w:tcMar>
            <w:vAlign w:val="center"/>
          </w:tcPr>
          <w:p>
            <w:pPr>
              <w:adjustRightInd w:val="0"/>
              <w:snapToGrid w:val="0"/>
              <w:jc w:val="center"/>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eastAsia" w:ascii="宋体" w:eastAsia="宋体"/>
                <w:color w:val="auto"/>
                <w:szCs w:val="21"/>
                <w:lang w:eastAsia="zh-CN"/>
              </w:rPr>
            </w:pPr>
            <w:r>
              <w:rPr>
                <w:rFonts w:hint="eastAsia" w:ascii="宋体" w:cs="宋体"/>
                <w:color w:val="auto"/>
                <w:szCs w:val="21"/>
                <w:lang w:val="en-US" w:eastAsia="zh-CN"/>
              </w:rPr>
              <w:t>2</w:t>
            </w:r>
          </w:p>
        </w:tc>
        <w:tc>
          <w:tcPr>
            <w:tcW w:w="2261" w:type="dxa"/>
            <w:tcMar>
              <w:top w:w="85" w:type="dxa"/>
              <w:bottom w:w="85" w:type="dxa"/>
            </w:tcMar>
            <w:vAlign w:val="center"/>
          </w:tcPr>
          <w:p>
            <w:pPr>
              <w:adjustRightInd w:val="0"/>
              <w:snapToGrid w:val="0"/>
              <w:jc w:val="center"/>
              <w:rPr>
                <w:rFonts w:ascii="宋体"/>
                <w:color w:val="auto"/>
                <w:szCs w:val="21"/>
              </w:rPr>
            </w:pPr>
            <w:r>
              <w:rPr>
                <w:rFonts w:hint="eastAsia" w:ascii="宋体" w:hAnsi="宋体"/>
                <w:color w:val="auto"/>
                <w:kern w:val="0"/>
                <w:szCs w:val="21"/>
              </w:rPr>
              <w:t>管理体系认证</w:t>
            </w:r>
          </w:p>
        </w:tc>
        <w:tc>
          <w:tcPr>
            <w:tcW w:w="5760" w:type="dxa"/>
            <w:tcMar>
              <w:top w:w="85" w:type="dxa"/>
              <w:bottom w:w="85" w:type="dxa"/>
            </w:tcMar>
            <w:vAlign w:val="center"/>
          </w:tcPr>
          <w:p>
            <w:pPr>
              <w:rPr>
                <w:rFonts w:ascii="宋体" w:hAnsi="宋体"/>
                <w:color w:val="auto"/>
                <w:szCs w:val="21"/>
              </w:rPr>
            </w:pPr>
            <w:r>
              <w:rPr>
                <w:rFonts w:hint="eastAsia"/>
                <w:color w:val="auto"/>
                <w:lang w:eastAsia="zh-CN"/>
              </w:rPr>
              <w:t>投标人</w:t>
            </w:r>
            <w:r>
              <w:rPr>
                <w:color w:val="auto"/>
              </w:rPr>
              <w:t>具备质量管理体系认证证书、环境管理体系认证证书、职业健康安全管理体系认证证书，每提供一个得2分，本项最高得6分。 注：须提供上述有效期内的认证证书扫描件或复印件及国家认证认可监督管理委员会信息中心的认证认可业务信息统一查询平台“全国认证认可信息公共服务平台”http://cx.cnca.cn上查询到在有效期内的官网截图打印件加盖供应商公章，不提供或提供不全均不得分。</w:t>
            </w:r>
          </w:p>
        </w:tc>
        <w:tc>
          <w:tcPr>
            <w:tcW w:w="862" w:type="dxa"/>
            <w:tcMar>
              <w:top w:w="85" w:type="dxa"/>
              <w:bottom w:w="85" w:type="dxa"/>
            </w:tcMar>
            <w:vAlign w:val="center"/>
          </w:tcPr>
          <w:p>
            <w:pPr>
              <w:adjustRightInd w:val="0"/>
              <w:snapToGrid w:val="0"/>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94" w:type="dxa"/>
            <w:tcMar>
              <w:top w:w="85" w:type="dxa"/>
              <w:bottom w:w="85" w:type="dxa"/>
            </w:tcMar>
            <w:vAlign w:val="center"/>
          </w:tcPr>
          <w:p>
            <w:pPr>
              <w:tabs>
                <w:tab w:val="left" w:pos="142"/>
              </w:tabs>
              <w:adjustRightInd w:val="0"/>
              <w:snapToGrid w:val="0"/>
              <w:jc w:val="center"/>
              <w:rPr>
                <w:rFonts w:hint="eastAsia" w:ascii="宋体" w:eastAsia="宋体"/>
                <w:color w:val="auto"/>
                <w:szCs w:val="21"/>
                <w:lang w:eastAsia="zh-CN"/>
              </w:rPr>
            </w:pPr>
            <w:r>
              <w:rPr>
                <w:rFonts w:hint="eastAsia" w:ascii="宋体" w:cs="宋体"/>
                <w:color w:val="auto"/>
                <w:szCs w:val="21"/>
                <w:lang w:val="en-US" w:eastAsia="zh-CN"/>
              </w:rPr>
              <w:t>3</w:t>
            </w:r>
          </w:p>
        </w:tc>
        <w:tc>
          <w:tcPr>
            <w:tcW w:w="2261" w:type="dxa"/>
            <w:tcMar>
              <w:top w:w="85" w:type="dxa"/>
              <w:bottom w:w="85" w:type="dxa"/>
            </w:tcMar>
            <w:vAlign w:val="center"/>
          </w:tcPr>
          <w:p>
            <w:pPr>
              <w:adjustRightInd w:val="0"/>
              <w:snapToGrid w:val="0"/>
              <w:jc w:val="center"/>
              <w:rPr>
                <w:rFonts w:ascii="宋体"/>
                <w:color w:val="auto"/>
                <w:szCs w:val="21"/>
              </w:rPr>
            </w:pPr>
            <w:r>
              <w:rPr>
                <w:rFonts w:hint="eastAsia" w:ascii="宋体" w:hAnsi="宋体"/>
                <w:color w:val="auto"/>
                <w:kern w:val="0"/>
                <w:szCs w:val="21"/>
              </w:rPr>
              <w:t>业绩经验</w:t>
            </w:r>
          </w:p>
        </w:tc>
        <w:tc>
          <w:tcPr>
            <w:tcW w:w="5760" w:type="dxa"/>
            <w:tcMar>
              <w:top w:w="85" w:type="dxa"/>
              <w:bottom w:w="85" w:type="dxa"/>
            </w:tcMar>
            <w:vAlign w:val="center"/>
          </w:tcPr>
          <w:p>
            <w:pPr>
              <w:rPr>
                <w:rFonts w:ascii="宋体" w:hAnsi="宋体"/>
                <w:color w:val="auto"/>
                <w:kern w:val="0"/>
                <w:szCs w:val="21"/>
              </w:rPr>
            </w:pPr>
            <w:r>
              <w:rPr>
                <w:rFonts w:hint="eastAsia" w:ascii="宋体" w:hAnsi="宋体"/>
                <w:color w:val="auto"/>
                <w:kern w:val="0"/>
                <w:szCs w:val="21"/>
                <w:lang w:eastAsia="zh-CN"/>
              </w:rPr>
              <w:t>投标</w:t>
            </w:r>
            <w:r>
              <w:rPr>
                <w:rFonts w:hint="eastAsia" w:ascii="宋体" w:hAnsi="宋体"/>
                <w:color w:val="auto"/>
                <w:kern w:val="0"/>
                <w:szCs w:val="21"/>
              </w:rPr>
              <w:t>人自2021年以来承担过类似</w:t>
            </w:r>
            <w:r>
              <w:rPr>
                <w:rFonts w:hint="eastAsia" w:ascii="宋体" w:hAnsi="宋体"/>
                <w:color w:val="auto"/>
                <w:kern w:val="0"/>
                <w:szCs w:val="21"/>
                <w:lang w:eastAsia="zh-CN"/>
              </w:rPr>
              <w:t>（机关事业单位）</w:t>
            </w:r>
            <w:r>
              <w:rPr>
                <w:rFonts w:hint="eastAsia" w:ascii="宋体" w:hAnsi="宋体"/>
                <w:color w:val="auto"/>
                <w:kern w:val="0"/>
                <w:szCs w:val="21"/>
              </w:rPr>
              <w:t>服务项目业绩：每提供一项同类业绩合同扫描件得</w:t>
            </w:r>
            <w:r>
              <w:rPr>
                <w:rFonts w:hint="eastAsia" w:ascii="宋体" w:hAnsi="宋体"/>
                <w:color w:val="auto"/>
                <w:kern w:val="0"/>
                <w:szCs w:val="21"/>
                <w:lang w:val="en-US" w:eastAsia="zh-CN"/>
              </w:rPr>
              <w:t>1</w:t>
            </w:r>
            <w:r>
              <w:rPr>
                <w:rFonts w:hint="eastAsia" w:ascii="宋体" w:hAnsi="宋体"/>
                <w:color w:val="auto"/>
                <w:kern w:val="0"/>
                <w:szCs w:val="21"/>
              </w:rPr>
              <w:t>分，本项最高</w:t>
            </w:r>
            <w:r>
              <w:rPr>
                <w:rFonts w:hint="eastAsia" w:ascii="宋体" w:hAnsi="宋体"/>
                <w:color w:val="auto"/>
                <w:kern w:val="0"/>
                <w:szCs w:val="21"/>
                <w:lang w:val="en-US" w:eastAsia="zh-CN"/>
              </w:rPr>
              <w:t>7</w:t>
            </w:r>
            <w:r>
              <w:rPr>
                <w:rFonts w:hint="eastAsia" w:ascii="宋体" w:hAnsi="宋体"/>
                <w:color w:val="auto"/>
                <w:kern w:val="0"/>
                <w:szCs w:val="21"/>
              </w:rPr>
              <w:t>分。（注：须提供合同原件扫描件并加盖投标人公章。未提供或缺陷不得分）</w:t>
            </w:r>
          </w:p>
        </w:tc>
        <w:tc>
          <w:tcPr>
            <w:tcW w:w="862" w:type="dxa"/>
            <w:tcMar>
              <w:top w:w="85" w:type="dxa"/>
              <w:bottom w:w="85" w:type="dxa"/>
            </w:tcMar>
            <w:vAlign w:val="center"/>
          </w:tcPr>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eastAsia" w:ascii="宋体" w:eastAsia="宋体" w:cs="宋体"/>
                <w:color w:val="auto"/>
                <w:szCs w:val="21"/>
                <w:lang w:eastAsia="zh-CN"/>
              </w:rPr>
            </w:pPr>
            <w:r>
              <w:rPr>
                <w:rFonts w:hint="eastAsia" w:ascii="宋体" w:cs="宋体"/>
                <w:color w:val="auto"/>
                <w:szCs w:val="21"/>
                <w:lang w:val="en-US" w:eastAsia="zh-CN"/>
              </w:rPr>
              <w:t>4</w:t>
            </w:r>
          </w:p>
        </w:tc>
        <w:tc>
          <w:tcPr>
            <w:tcW w:w="2261" w:type="dxa"/>
            <w:tcMar>
              <w:top w:w="85" w:type="dxa"/>
              <w:bottom w:w="85" w:type="dxa"/>
            </w:tcMar>
            <w:vAlign w:val="center"/>
          </w:tcPr>
          <w:p>
            <w:pPr>
              <w:adjustRightInd w:val="0"/>
              <w:snapToGrid w:val="0"/>
              <w:jc w:val="center"/>
              <w:rPr>
                <w:rFonts w:ascii="宋体" w:hAnsi="宋体"/>
                <w:color w:val="auto"/>
                <w:szCs w:val="21"/>
              </w:rPr>
            </w:pPr>
            <w:r>
              <w:rPr>
                <w:rFonts w:hint="eastAsia" w:ascii="宋体" w:hAnsi="宋体"/>
                <w:color w:val="auto"/>
                <w:szCs w:val="21"/>
              </w:rPr>
              <w:t>拟投入医护人员情况</w:t>
            </w:r>
          </w:p>
        </w:tc>
        <w:tc>
          <w:tcPr>
            <w:tcW w:w="5760" w:type="dxa"/>
            <w:tcMar>
              <w:top w:w="85" w:type="dxa"/>
              <w:bottom w:w="85" w:type="dxa"/>
            </w:tcMar>
            <w:vAlign w:val="center"/>
          </w:tcPr>
          <w:p>
            <w:pPr>
              <w:rPr>
                <w:rFonts w:hint="eastAsia"/>
                <w:color w:val="auto"/>
              </w:rPr>
            </w:pPr>
            <w:r>
              <w:rPr>
                <w:rFonts w:hint="eastAsia"/>
                <w:color w:val="auto"/>
              </w:rPr>
              <w:t>具有副主任医师（或以上</w:t>
            </w:r>
            <w:r>
              <w:rPr>
                <w:rFonts w:hint="eastAsia"/>
                <w:color w:val="auto"/>
                <w:lang w:val="en-US" w:eastAsia="zh-CN"/>
              </w:rPr>
              <w:t>职称</w:t>
            </w:r>
            <w:r>
              <w:rPr>
                <w:rFonts w:hint="eastAsia"/>
                <w:color w:val="auto"/>
              </w:rPr>
              <w:t>）</w:t>
            </w:r>
            <w:r>
              <w:rPr>
                <w:rFonts w:hint="eastAsia"/>
                <w:color w:val="auto"/>
                <w:lang w:eastAsia="zh-CN"/>
              </w:rPr>
              <w:t>的，</w:t>
            </w:r>
            <w:r>
              <w:rPr>
                <w:color w:val="auto"/>
              </w:rPr>
              <w:t>每提供1名，得</w:t>
            </w:r>
            <w:r>
              <w:rPr>
                <w:rFonts w:hint="eastAsia"/>
                <w:color w:val="auto"/>
                <w:lang w:val="en-US" w:eastAsia="zh-CN"/>
              </w:rPr>
              <w:t>1</w:t>
            </w:r>
            <w:r>
              <w:rPr>
                <w:color w:val="auto"/>
              </w:rPr>
              <w:t>分，最高得</w:t>
            </w:r>
            <w:r>
              <w:rPr>
                <w:rFonts w:hint="eastAsia"/>
                <w:color w:val="auto"/>
                <w:lang w:val="en-US" w:eastAsia="zh-CN"/>
              </w:rPr>
              <w:t>5</w:t>
            </w:r>
            <w:r>
              <w:rPr>
                <w:color w:val="auto"/>
              </w:rPr>
              <w:t>分。其中，</w:t>
            </w:r>
            <w:r>
              <w:rPr>
                <w:rFonts w:hint="eastAsia"/>
                <w:color w:val="auto"/>
              </w:rPr>
              <w:t>具有中级职称（主治或主管医师）的</w:t>
            </w:r>
            <w:r>
              <w:rPr>
                <w:color w:val="auto"/>
              </w:rPr>
              <w:t>，每提供1名加</w:t>
            </w:r>
            <w:r>
              <w:rPr>
                <w:rFonts w:hint="eastAsia"/>
                <w:color w:val="auto"/>
                <w:lang w:val="en-US" w:eastAsia="zh-CN"/>
              </w:rPr>
              <w:t>1</w:t>
            </w:r>
            <w:r>
              <w:rPr>
                <w:color w:val="auto"/>
              </w:rPr>
              <w:t>分，最多加</w:t>
            </w:r>
            <w:r>
              <w:rPr>
                <w:rFonts w:hint="eastAsia"/>
                <w:color w:val="auto"/>
                <w:lang w:val="en-US" w:eastAsia="zh-CN"/>
              </w:rPr>
              <w:t>5</w:t>
            </w:r>
            <w:r>
              <w:rPr>
                <w:color w:val="auto"/>
              </w:rPr>
              <w:t>分。(本项最高得</w:t>
            </w:r>
            <w:r>
              <w:rPr>
                <w:rFonts w:hint="eastAsia"/>
                <w:color w:val="auto"/>
                <w:lang w:val="en-US" w:eastAsia="zh-CN"/>
              </w:rPr>
              <w:t>10</w:t>
            </w:r>
            <w:r>
              <w:rPr>
                <w:color w:val="auto"/>
              </w:rPr>
              <w:t>分)</w:t>
            </w:r>
          </w:p>
          <w:p>
            <w:pPr>
              <w:rPr>
                <w:color w:val="auto"/>
              </w:rPr>
            </w:pPr>
            <w:r>
              <w:rPr>
                <w:color w:val="auto"/>
              </w:rPr>
              <w:t>具有护士职称的，每提供1名，得</w:t>
            </w:r>
            <w:r>
              <w:rPr>
                <w:rFonts w:hint="eastAsia"/>
                <w:color w:val="auto"/>
                <w:lang w:val="en-US" w:eastAsia="zh-CN"/>
              </w:rPr>
              <w:t>0.5</w:t>
            </w:r>
            <w:r>
              <w:rPr>
                <w:color w:val="auto"/>
              </w:rPr>
              <w:t>分，最高得</w:t>
            </w:r>
            <w:r>
              <w:rPr>
                <w:rFonts w:hint="eastAsia"/>
                <w:color w:val="auto"/>
                <w:lang w:val="en-US" w:eastAsia="zh-CN"/>
              </w:rPr>
              <w:t>4</w:t>
            </w:r>
            <w:r>
              <w:rPr>
                <w:color w:val="auto"/>
              </w:rPr>
              <w:t>分</w:t>
            </w:r>
          </w:p>
          <w:p>
            <w:pPr>
              <w:rPr>
                <w:color w:val="auto"/>
              </w:rPr>
            </w:pPr>
            <w:r>
              <w:rPr>
                <w:color w:val="auto"/>
              </w:rPr>
              <w:t>注:</w:t>
            </w:r>
            <w:r>
              <w:rPr>
                <w:rFonts w:hint="eastAsia"/>
                <w:color w:val="auto"/>
                <w:lang w:val="en-US" w:eastAsia="zh-CN"/>
              </w:rPr>
              <w:t>以上人员不累计得分。须</w:t>
            </w:r>
            <w:r>
              <w:rPr>
                <w:color w:val="auto"/>
              </w:rPr>
              <w:t>提供以上人员有效证书复印件及在本项目投标截止日之前六个月以内其中一个月投标人为其缴纳社保的《投保单》或《社会保险参保人员证明》，未按要求提供的不得分。</w:t>
            </w:r>
          </w:p>
        </w:tc>
        <w:tc>
          <w:tcPr>
            <w:tcW w:w="862" w:type="dxa"/>
            <w:tcMar>
              <w:top w:w="85" w:type="dxa"/>
              <w:bottom w:w="85" w:type="dxa"/>
            </w:tcMar>
            <w:vAlign w:val="center"/>
          </w:tcPr>
          <w:p>
            <w:pPr>
              <w:adjustRightInd w:val="0"/>
              <w:snapToGrid w:val="0"/>
              <w:jc w:val="center"/>
              <w:rPr>
                <w:rFonts w:hint="default" w:ascii="宋体" w:eastAsia="宋体" w:cs="宋体"/>
                <w:color w:val="auto"/>
                <w:szCs w:val="21"/>
                <w:lang w:val="en-US" w:eastAsia="zh-CN"/>
              </w:rPr>
            </w:pPr>
            <w:r>
              <w:rPr>
                <w:rFonts w:hint="eastAsia" w:ascii="宋体" w:hAnsi="宋体"/>
                <w:color w:val="auto"/>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eastAsia" w:ascii="宋体" w:eastAsia="宋体" w:cs="宋体"/>
                <w:color w:val="auto"/>
                <w:szCs w:val="21"/>
                <w:lang w:val="en-US" w:eastAsia="zh-CN"/>
              </w:rPr>
            </w:pPr>
            <w:r>
              <w:rPr>
                <w:rFonts w:hint="eastAsia" w:ascii="宋体" w:cs="宋体"/>
                <w:color w:val="auto"/>
                <w:szCs w:val="21"/>
                <w:lang w:val="en-US" w:eastAsia="zh-CN"/>
              </w:rPr>
              <w:t>5</w:t>
            </w:r>
          </w:p>
        </w:tc>
        <w:tc>
          <w:tcPr>
            <w:tcW w:w="2261" w:type="dxa"/>
            <w:tcMar>
              <w:top w:w="85" w:type="dxa"/>
              <w:bottom w:w="85" w:type="dxa"/>
            </w:tcMar>
            <w:vAlign w:val="center"/>
          </w:tcPr>
          <w:p>
            <w:pPr>
              <w:adjustRightInd w:val="0"/>
              <w:snapToGrid w:val="0"/>
              <w:jc w:val="center"/>
              <w:rPr>
                <w:rFonts w:hint="eastAsia" w:eastAsia="宋体"/>
                <w:color w:val="auto"/>
                <w:lang w:eastAsia="zh-CN"/>
              </w:rPr>
            </w:pPr>
            <w:r>
              <w:rPr>
                <w:rFonts w:hint="eastAsia" w:eastAsia="宋体"/>
                <w:color w:val="auto"/>
                <w:lang w:eastAsia="zh-CN"/>
              </w:rPr>
              <w:t>质量控制与保障措施</w:t>
            </w:r>
          </w:p>
        </w:tc>
        <w:tc>
          <w:tcPr>
            <w:tcW w:w="5760" w:type="dxa"/>
            <w:tcMar>
              <w:top w:w="85" w:type="dxa"/>
              <w:bottom w:w="85" w:type="dxa"/>
            </w:tcMar>
            <w:vAlign w:val="center"/>
          </w:tcPr>
          <w:p>
            <w:pPr>
              <w:rPr>
                <w:rFonts w:hint="default" w:ascii="宋体" w:hAnsi="宋体"/>
                <w:color w:val="auto"/>
                <w:kern w:val="0"/>
                <w:szCs w:val="21"/>
                <w:lang w:val="en-US" w:eastAsia="zh-CN"/>
              </w:rPr>
            </w:pPr>
            <w:r>
              <w:rPr>
                <w:rFonts w:hint="default" w:ascii="宋体" w:hAnsi="宋体"/>
                <w:color w:val="auto"/>
                <w:kern w:val="0"/>
                <w:szCs w:val="21"/>
                <w:lang w:val="en-US" w:eastAsia="zh-CN"/>
              </w:rPr>
              <w:t>针对采购人集中体检的实际需求，对投入体检专用的主要设备保障</w:t>
            </w:r>
          </w:p>
          <w:p>
            <w:pPr>
              <w:rPr>
                <w:rFonts w:hint="default" w:ascii="宋体" w:hAnsi="宋体"/>
                <w:color w:val="auto"/>
                <w:kern w:val="0"/>
                <w:szCs w:val="21"/>
                <w:lang w:val="en-US" w:eastAsia="zh-CN"/>
              </w:rPr>
            </w:pPr>
            <w:r>
              <w:rPr>
                <w:rFonts w:hint="default" w:ascii="宋体" w:hAnsi="宋体"/>
                <w:color w:val="auto"/>
                <w:kern w:val="0"/>
                <w:szCs w:val="21"/>
                <w:lang w:val="en-US" w:eastAsia="zh-CN"/>
              </w:rPr>
              <w:t>情况进行评审：</w:t>
            </w:r>
          </w:p>
          <w:p>
            <w:pPr>
              <w:rPr>
                <w:rFonts w:hint="default" w:ascii="宋体" w:hAnsi="宋体"/>
                <w:color w:val="auto"/>
                <w:kern w:val="0"/>
                <w:szCs w:val="21"/>
                <w:lang w:val="en-US" w:eastAsia="zh-CN"/>
              </w:rPr>
            </w:pPr>
            <w:r>
              <w:rPr>
                <w:rFonts w:hint="default" w:ascii="宋体" w:hAnsi="宋体"/>
                <w:color w:val="auto"/>
                <w:kern w:val="0"/>
                <w:szCs w:val="21"/>
                <w:lang w:val="en-US" w:eastAsia="zh-CN"/>
              </w:rPr>
              <w:t>1. 仪器设备种类齐全，主要设备数量多，可靠性及先进性强，检验项目方法的准确性高，得 5分；</w:t>
            </w:r>
          </w:p>
          <w:p>
            <w:pPr>
              <w:rPr>
                <w:rFonts w:hint="default" w:ascii="宋体" w:hAnsi="宋体"/>
                <w:color w:val="auto"/>
                <w:kern w:val="0"/>
                <w:szCs w:val="21"/>
                <w:lang w:val="en-US" w:eastAsia="zh-CN"/>
              </w:rPr>
            </w:pPr>
            <w:r>
              <w:rPr>
                <w:rFonts w:hint="default" w:ascii="宋体" w:hAnsi="宋体"/>
                <w:color w:val="auto"/>
                <w:kern w:val="0"/>
                <w:szCs w:val="21"/>
                <w:lang w:val="en-US" w:eastAsia="zh-CN"/>
              </w:rPr>
              <w:t>2. 仪器设备种类比较齐全，主要设备数量较多，可靠性及先进性较强，检验项目方法的准确性较高，得 3分；</w:t>
            </w:r>
          </w:p>
          <w:p>
            <w:pPr>
              <w:rPr>
                <w:rFonts w:hint="default" w:ascii="宋体" w:hAnsi="宋体"/>
                <w:color w:val="auto"/>
                <w:kern w:val="0"/>
                <w:szCs w:val="21"/>
                <w:lang w:val="en-US" w:eastAsia="zh-CN"/>
              </w:rPr>
            </w:pPr>
            <w:r>
              <w:rPr>
                <w:rFonts w:hint="default" w:ascii="宋体" w:hAnsi="宋体"/>
                <w:color w:val="auto"/>
                <w:kern w:val="0"/>
                <w:szCs w:val="21"/>
                <w:lang w:val="en-US" w:eastAsia="zh-CN"/>
              </w:rPr>
              <w:t>3. 仪器设备种类不齐全，主要设备数量不多，可靠性及先进性不强，检验项目方法的准确性不高，得 2 分；</w:t>
            </w:r>
          </w:p>
          <w:p>
            <w:pPr>
              <w:rPr>
                <w:rFonts w:hint="default" w:ascii="宋体" w:hAnsi="宋体"/>
                <w:color w:val="auto"/>
                <w:kern w:val="0"/>
                <w:szCs w:val="21"/>
                <w:lang w:val="en-US" w:eastAsia="zh-CN"/>
              </w:rPr>
            </w:pPr>
            <w:r>
              <w:rPr>
                <w:rFonts w:hint="default" w:ascii="宋体" w:hAnsi="宋体"/>
                <w:color w:val="auto"/>
                <w:kern w:val="0"/>
                <w:szCs w:val="21"/>
                <w:lang w:val="en-US" w:eastAsia="zh-CN"/>
              </w:rPr>
              <w:t>4. 仪器设备种类较少，主要设备数量少，可靠性及先进性较差，检验项目方法的准确性较低，得 1 分。</w:t>
            </w:r>
          </w:p>
          <w:p>
            <w:pPr>
              <w:rPr>
                <w:rFonts w:hint="default" w:ascii="宋体" w:hAnsi="宋体"/>
                <w:color w:val="auto"/>
                <w:kern w:val="0"/>
                <w:szCs w:val="21"/>
                <w:lang w:val="en-US" w:eastAsia="zh-CN"/>
              </w:rPr>
            </w:pPr>
            <w:r>
              <w:rPr>
                <w:rFonts w:hint="default" w:ascii="宋体" w:hAnsi="宋体"/>
                <w:color w:val="auto"/>
                <w:kern w:val="0"/>
                <w:szCs w:val="21"/>
                <w:lang w:val="en-US" w:eastAsia="zh-CN"/>
              </w:rPr>
              <w:t>注：须提供设备清单（对应本需求要求的体检项目）、设备实物图片及购买设备发票（或合同等其他全权使用证明材料）复印件，无或未提供证明材料的不得分。</w:t>
            </w:r>
          </w:p>
        </w:tc>
        <w:tc>
          <w:tcPr>
            <w:tcW w:w="862" w:type="dxa"/>
            <w:tcMar>
              <w:top w:w="85" w:type="dxa"/>
              <w:bottom w:w="85" w:type="dxa"/>
            </w:tcMar>
            <w:vAlign w:val="center"/>
          </w:tcPr>
          <w:p>
            <w:pPr>
              <w:adjustRightInd w:val="0"/>
              <w:snapToGrid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default" w:ascii="宋体" w:cs="宋体"/>
                <w:color w:val="auto"/>
                <w:szCs w:val="21"/>
                <w:lang w:val="en-US" w:eastAsia="zh-CN"/>
              </w:rPr>
            </w:pPr>
            <w:r>
              <w:rPr>
                <w:rFonts w:hint="eastAsia" w:ascii="宋体" w:cs="宋体"/>
                <w:color w:val="auto"/>
                <w:szCs w:val="21"/>
                <w:lang w:val="en-US" w:eastAsia="zh-CN"/>
              </w:rPr>
              <w:t>6</w:t>
            </w:r>
          </w:p>
        </w:tc>
        <w:tc>
          <w:tcPr>
            <w:tcW w:w="2261" w:type="dxa"/>
            <w:tcMar>
              <w:top w:w="85" w:type="dxa"/>
              <w:bottom w:w="85" w:type="dxa"/>
            </w:tcMar>
            <w:vAlign w:val="center"/>
          </w:tcPr>
          <w:p>
            <w:pPr>
              <w:keepNext w:val="0"/>
              <w:keepLines w:val="0"/>
              <w:pageBreakBefore w:val="0"/>
              <w:widowControl w:val="0"/>
              <w:kinsoku/>
              <w:wordWrap/>
              <w:overflowPunct/>
              <w:topLinePunct w:val="0"/>
              <w:bidi w:val="0"/>
              <w:adjustRightInd w:val="0"/>
              <w:snapToGrid w:val="0"/>
              <w:spacing w:line="360" w:lineRule="exact"/>
              <w:ind w:left="0" w:leftChars="0" w:right="0" w:rightChars="0" w:firstLine="0" w:firstLineChars="0"/>
              <w:jc w:val="center"/>
              <w:textAlignment w:val="auto"/>
              <w:rPr>
                <w:rFonts w:hint="eastAsia"/>
                <w:color w:val="auto"/>
                <w:lang w:eastAsia="zh-CN"/>
              </w:rPr>
            </w:pPr>
            <w:r>
              <w:rPr>
                <w:rFonts w:hint="eastAsia" w:ascii="宋体" w:hAnsi="宋体"/>
                <w:color w:val="auto"/>
                <w:kern w:val="0"/>
                <w:szCs w:val="21"/>
                <w:lang w:val="en-US" w:eastAsia="zh-CN"/>
              </w:rPr>
              <w:t>开展体检服务专用车辆及设备</w:t>
            </w:r>
          </w:p>
        </w:tc>
        <w:tc>
          <w:tcPr>
            <w:tcW w:w="5760" w:type="dxa"/>
            <w:tcMar>
              <w:top w:w="85" w:type="dxa"/>
              <w:bottom w:w="85" w:type="dxa"/>
            </w:tcMar>
            <w:vAlign w:val="center"/>
          </w:tcPr>
          <w:p>
            <w:pPr>
              <w:numPr>
                <w:ilvl w:val="0"/>
                <w:numId w:val="4"/>
              </w:numPr>
              <w:rPr>
                <w:rFonts w:hint="eastAsia" w:ascii="宋体" w:hAnsi="宋体"/>
                <w:color w:val="auto"/>
                <w:kern w:val="0"/>
                <w:szCs w:val="21"/>
                <w:lang w:val="en-US" w:eastAsia="zh-CN"/>
              </w:rPr>
            </w:pPr>
            <w:r>
              <w:rPr>
                <w:rFonts w:hint="eastAsia" w:ascii="宋体" w:hAnsi="宋体"/>
                <w:color w:val="auto"/>
                <w:kern w:val="0"/>
                <w:szCs w:val="21"/>
                <w:lang w:val="en-US" w:eastAsia="zh-CN"/>
              </w:rPr>
              <w:t>开展体检服务专用车辆</w:t>
            </w:r>
          </w:p>
          <w:p>
            <w:pPr>
              <w:numPr>
                <w:ilvl w:val="0"/>
                <w:numId w:val="0"/>
              </w:numPr>
              <w:rPr>
                <w:rFonts w:hint="eastAsia"/>
                <w:color w:val="auto"/>
              </w:rPr>
            </w:pPr>
            <w:r>
              <w:rPr>
                <w:rFonts w:hint="eastAsia" w:ascii="宋体" w:hAnsi="宋体"/>
                <w:color w:val="auto"/>
                <w:kern w:val="0"/>
                <w:szCs w:val="21"/>
                <w:lang w:val="en-US" w:eastAsia="zh-CN"/>
              </w:rPr>
              <w:t>1.具有可上门来为学校学生提供健康体检服务，提供专用设备齐备，设备检查功能满足要求，为较新的设备，检测便利、数据准确，得 5 分。提供专用设备基本齐全，设备检查功能大部分能满足要求，得2分。</w:t>
            </w:r>
            <w:r>
              <w:rPr>
                <w:color w:val="auto"/>
              </w:rPr>
              <w:t>(本项最高得</w:t>
            </w:r>
            <w:r>
              <w:rPr>
                <w:rFonts w:hint="eastAsia"/>
                <w:color w:val="auto"/>
                <w:lang w:val="en-US" w:eastAsia="zh-CN"/>
              </w:rPr>
              <w:t>5</w:t>
            </w:r>
            <w:r>
              <w:rPr>
                <w:color w:val="auto"/>
              </w:rPr>
              <w:t>分)</w:t>
            </w:r>
          </w:p>
          <w:p>
            <w:pPr>
              <w:rPr>
                <w:rFonts w:hint="eastAsia" w:ascii="宋体" w:hAnsi="宋体"/>
                <w:color w:val="auto"/>
                <w:kern w:val="0"/>
                <w:szCs w:val="21"/>
                <w:lang w:val="en-US" w:eastAsia="zh-CN"/>
              </w:rPr>
            </w:pPr>
            <w:r>
              <w:rPr>
                <w:rFonts w:hint="eastAsia" w:ascii="宋体" w:hAnsi="宋体"/>
                <w:color w:val="auto"/>
                <w:kern w:val="0"/>
                <w:szCs w:val="21"/>
                <w:lang w:val="en-US" w:eastAsia="zh-CN"/>
              </w:rPr>
              <w:t>2.配备自有专业流动体检车辆（DR 流动车），每具有 1 辆得 1 分，满分为 3 分。</w:t>
            </w:r>
          </w:p>
          <w:p>
            <w:pPr>
              <w:rPr>
                <w:rFonts w:hint="eastAsia" w:ascii="宋体" w:hAnsi="宋体"/>
                <w:color w:val="auto"/>
                <w:kern w:val="0"/>
                <w:szCs w:val="21"/>
                <w:lang w:val="en-US" w:eastAsia="zh-CN"/>
              </w:rPr>
            </w:pPr>
            <w:r>
              <w:rPr>
                <w:rFonts w:hint="eastAsia" w:ascii="宋体" w:hAnsi="宋体"/>
                <w:color w:val="auto"/>
                <w:kern w:val="0"/>
                <w:szCs w:val="21"/>
                <w:lang w:val="en-US" w:eastAsia="zh-CN"/>
              </w:rPr>
              <w:t>3.承诺为学生体检期间成立体检科室，使用一次性体检耗材的，得 2 分。</w:t>
            </w:r>
          </w:p>
          <w:p>
            <w:pPr>
              <w:rPr>
                <w:rFonts w:hint="eastAsia" w:ascii="宋体" w:hAnsi="宋体"/>
                <w:color w:val="auto"/>
                <w:kern w:val="0"/>
                <w:szCs w:val="21"/>
                <w:lang w:val="en-US" w:eastAsia="zh-CN"/>
              </w:rPr>
            </w:pPr>
            <w:r>
              <w:rPr>
                <w:rFonts w:hint="eastAsia" w:ascii="宋体" w:hAnsi="宋体"/>
                <w:color w:val="auto"/>
                <w:kern w:val="0"/>
                <w:szCs w:val="21"/>
                <w:lang w:val="en-US" w:eastAsia="zh-CN"/>
              </w:rPr>
              <w:t>满足或超出上述条件的得分，不足不得分。</w:t>
            </w:r>
          </w:p>
          <w:p>
            <w:pPr>
              <w:rPr>
                <w:rFonts w:hint="eastAsia" w:ascii="宋体" w:hAnsi="宋体"/>
                <w:color w:val="auto"/>
                <w:kern w:val="0"/>
                <w:szCs w:val="21"/>
                <w:lang w:val="en-US" w:eastAsia="zh-CN"/>
              </w:rPr>
            </w:pPr>
            <w:r>
              <w:rPr>
                <w:rFonts w:hint="eastAsia" w:ascii="宋体" w:hAnsi="宋体"/>
                <w:color w:val="auto"/>
                <w:kern w:val="0"/>
                <w:szCs w:val="21"/>
                <w:lang w:val="en-US" w:eastAsia="zh-CN"/>
              </w:rPr>
              <w:t>注：须提供相关书面材料或其它佐证。</w:t>
            </w:r>
          </w:p>
          <w:p>
            <w:pPr>
              <w:rPr>
                <w:rFonts w:hint="eastAsia" w:ascii="宋体" w:hAnsi="宋体"/>
                <w:color w:val="auto"/>
                <w:kern w:val="0"/>
                <w:szCs w:val="21"/>
                <w:lang w:val="en-US" w:eastAsia="zh-CN"/>
              </w:rPr>
            </w:pPr>
            <w:r>
              <w:rPr>
                <w:rFonts w:hint="eastAsia" w:ascii="宋体" w:hAnsi="宋体"/>
                <w:color w:val="auto"/>
                <w:kern w:val="0"/>
                <w:szCs w:val="21"/>
                <w:lang w:val="en-US" w:eastAsia="zh-CN"/>
              </w:rPr>
              <w:t>二、根据投标人拟投入体检专用的主要设备进行评审：</w:t>
            </w:r>
          </w:p>
          <w:p>
            <w:pPr>
              <w:rPr>
                <w:rFonts w:hint="eastAsia" w:ascii="宋体" w:hAnsi="宋体"/>
                <w:color w:val="auto"/>
                <w:kern w:val="0"/>
                <w:szCs w:val="21"/>
                <w:lang w:val="en-US" w:eastAsia="zh-CN"/>
              </w:rPr>
            </w:pPr>
            <w:r>
              <w:rPr>
                <w:rFonts w:hint="eastAsia" w:ascii="宋体" w:hAnsi="宋体"/>
                <w:color w:val="auto"/>
                <w:kern w:val="0"/>
                <w:szCs w:val="21"/>
                <w:lang w:val="en-US" w:eastAsia="zh-CN"/>
              </w:rPr>
              <w:t>①数字 X 光机；②心电图机；③全自动血球分析仪；④全自动生化分析仪，本项满分为4分，以上设备每少一台扣1分扣完为止。</w:t>
            </w:r>
          </w:p>
          <w:p>
            <w:pPr>
              <w:rPr>
                <w:rFonts w:hint="eastAsia" w:ascii="宋体" w:hAnsi="宋体"/>
                <w:color w:val="auto"/>
                <w:kern w:val="0"/>
                <w:szCs w:val="21"/>
                <w:lang w:val="en-US" w:eastAsia="zh-CN"/>
              </w:rPr>
            </w:pPr>
            <w:r>
              <w:rPr>
                <w:rFonts w:hint="eastAsia" w:ascii="宋体" w:hAnsi="宋体"/>
                <w:color w:val="auto"/>
                <w:kern w:val="0"/>
                <w:szCs w:val="21"/>
                <w:lang w:val="en-US" w:eastAsia="zh-CN"/>
              </w:rPr>
              <w:t>须提供以下证明材料，资料不齐全或未按要求提供的不得分：</w:t>
            </w:r>
          </w:p>
          <w:p>
            <w:pPr>
              <w:rPr>
                <w:rFonts w:hint="default"/>
                <w:color w:val="auto"/>
                <w:lang w:val="en-US" w:eastAsia="zh-CN"/>
              </w:rPr>
            </w:pPr>
            <w:r>
              <w:rPr>
                <w:rFonts w:hint="eastAsia" w:ascii="宋体" w:hAnsi="宋体"/>
                <w:color w:val="auto"/>
                <w:kern w:val="0"/>
                <w:szCs w:val="21"/>
                <w:lang w:val="en-US" w:eastAsia="zh-CN"/>
              </w:rPr>
              <w:t>提供以投标人名义购置的体检设备发票并加盖投标人公章作为评审依据；如体检设备为租赁的，则提供以投标人名义的租赁协议并加盖投标人单位公章作为评审依据。</w:t>
            </w:r>
          </w:p>
        </w:tc>
        <w:tc>
          <w:tcPr>
            <w:tcW w:w="862" w:type="dxa"/>
            <w:tcMar>
              <w:top w:w="85" w:type="dxa"/>
              <w:bottom w:w="85" w:type="dxa"/>
            </w:tcMar>
            <w:vAlign w:val="center"/>
          </w:tcPr>
          <w:p>
            <w:pPr>
              <w:adjustRightInd w:val="0"/>
              <w:snapToGrid w:val="0"/>
              <w:jc w:val="center"/>
              <w:rPr>
                <w:rFonts w:hint="default" w:ascii="宋体" w:hAnsi="宋体"/>
                <w:color w:val="auto"/>
                <w:szCs w:val="21"/>
                <w:lang w:val="en-US" w:eastAsia="zh-CN"/>
              </w:rPr>
            </w:pPr>
            <w:r>
              <w:rPr>
                <w:rFonts w:hint="eastAsia" w:ascii="宋体" w:hAnsi="宋体"/>
                <w:color w:val="auto"/>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default" w:ascii="宋体" w:cs="宋体"/>
                <w:color w:val="auto"/>
                <w:szCs w:val="21"/>
                <w:lang w:val="en-US" w:eastAsia="zh-CN"/>
              </w:rPr>
            </w:pPr>
            <w:r>
              <w:rPr>
                <w:rFonts w:hint="eastAsia" w:ascii="宋体" w:cs="宋体"/>
                <w:color w:val="auto"/>
                <w:szCs w:val="21"/>
                <w:lang w:val="en-US" w:eastAsia="zh-CN"/>
              </w:rPr>
              <w:t>7</w:t>
            </w:r>
          </w:p>
        </w:tc>
        <w:tc>
          <w:tcPr>
            <w:tcW w:w="2261" w:type="dxa"/>
            <w:tcMar>
              <w:top w:w="85" w:type="dxa"/>
              <w:bottom w:w="85" w:type="dxa"/>
            </w:tcMar>
            <w:vAlign w:val="center"/>
          </w:tcPr>
          <w:p>
            <w:pPr>
              <w:adjustRightInd w:val="0"/>
              <w:snapToGrid w:val="0"/>
              <w:jc w:val="center"/>
              <w:rPr>
                <w:rFonts w:hint="eastAsia" w:eastAsia="宋体"/>
                <w:color w:val="auto"/>
                <w:lang w:eastAsia="zh-CN"/>
              </w:rPr>
            </w:pPr>
            <w:r>
              <w:rPr>
                <w:rFonts w:hint="eastAsia" w:ascii="宋体" w:hAnsi="宋体"/>
                <w:color w:val="auto"/>
                <w:kern w:val="0"/>
                <w:szCs w:val="21"/>
              </w:rPr>
              <w:t>服务方案</w:t>
            </w:r>
          </w:p>
        </w:tc>
        <w:tc>
          <w:tcPr>
            <w:tcW w:w="5760" w:type="dxa"/>
            <w:tcMar>
              <w:top w:w="85" w:type="dxa"/>
              <w:bottom w:w="85" w:type="dxa"/>
            </w:tcMar>
            <w:vAlign w:val="center"/>
          </w:tcPr>
          <w:p>
            <w:pPr>
              <w:rPr>
                <w:rFonts w:hint="eastAsia" w:ascii="宋体" w:hAnsi="宋体"/>
                <w:color w:val="auto"/>
                <w:kern w:val="0"/>
                <w:szCs w:val="21"/>
                <w:lang w:eastAsia="zh-CN"/>
              </w:rPr>
            </w:pPr>
            <w:r>
              <w:rPr>
                <w:rFonts w:hint="eastAsia" w:ascii="宋体" w:hAnsi="宋体"/>
                <w:color w:val="auto"/>
                <w:kern w:val="0"/>
                <w:szCs w:val="21"/>
                <w:lang w:eastAsia="zh-CN"/>
              </w:rPr>
              <w:t>根据投标人现场体检服务方案（包括但不限于健康教育知识宣传、建立学生健康档案等）进行评审：</w:t>
            </w:r>
          </w:p>
          <w:p>
            <w:pPr>
              <w:rPr>
                <w:rFonts w:hint="eastAsia" w:ascii="宋体" w:hAnsi="宋体"/>
                <w:color w:val="auto"/>
                <w:kern w:val="0"/>
                <w:szCs w:val="21"/>
                <w:lang w:eastAsia="zh-CN"/>
              </w:rPr>
            </w:pPr>
            <w:r>
              <w:rPr>
                <w:rFonts w:hint="eastAsia" w:ascii="宋体" w:hAnsi="宋体"/>
                <w:color w:val="auto"/>
                <w:kern w:val="0"/>
                <w:szCs w:val="21"/>
                <w:lang w:eastAsia="zh-CN"/>
              </w:rPr>
              <w:t xml:space="preserve">投标人非常明确项目要求及服务内容，主要服务方法及服务指标完全满足采购人需求，得 </w:t>
            </w:r>
            <w:r>
              <w:rPr>
                <w:rFonts w:hint="eastAsia" w:ascii="宋体" w:hAnsi="宋体"/>
                <w:color w:val="auto"/>
                <w:kern w:val="0"/>
                <w:szCs w:val="21"/>
                <w:lang w:val="en-US" w:eastAsia="zh-CN"/>
              </w:rPr>
              <w:t>7</w:t>
            </w:r>
            <w:r>
              <w:rPr>
                <w:rFonts w:hint="eastAsia" w:ascii="宋体" w:hAnsi="宋体"/>
                <w:color w:val="auto"/>
                <w:kern w:val="0"/>
                <w:szCs w:val="21"/>
                <w:lang w:eastAsia="zh-CN"/>
              </w:rPr>
              <w:t>分；</w:t>
            </w:r>
          </w:p>
          <w:p>
            <w:pPr>
              <w:rPr>
                <w:rFonts w:hint="eastAsia" w:ascii="宋体" w:hAnsi="宋体"/>
                <w:color w:val="auto"/>
                <w:kern w:val="0"/>
                <w:szCs w:val="21"/>
                <w:lang w:eastAsia="zh-CN"/>
              </w:rPr>
            </w:pPr>
            <w:r>
              <w:rPr>
                <w:rFonts w:hint="eastAsia" w:ascii="宋体" w:hAnsi="宋体"/>
                <w:color w:val="auto"/>
                <w:kern w:val="0"/>
                <w:szCs w:val="21"/>
                <w:lang w:eastAsia="zh-CN"/>
              </w:rPr>
              <w:t xml:space="preserve">投标人较为明确项目要求及服务内容，主要服务方法及服务指标较为满足采购人需求，得 </w:t>
            </w:r>
            <w:r>
              <w:rPr>
                <w:rFonts w:hint="eastAsia" w:ascii="宋体" w:hAnsi="宋体"/>
                <w:color w:val="auto"/>
                <w:kern w:val="0"/>
                <w:szCs w:val="21"/>
                <w:lang w:val="en-US" w:eastAsia="zh-CN"/>
              </w:rPr>
              <w:t>5</w:t>
            </w:r>
            <w:r>
              <w:rPr>
                <w:rFonts w:hint="eastAsia" w:ascii="宋体" w:hAnsi="宋体"/>
                <w:color w:val="auto"/>
                <w:kern w:val="0"/>
                <w:szCs w:val="21"/>
                <w:lang w:eastAsia="zh-CN"/>
              </w:rPr>
              <w:t>分；</w:t>
            </w:r>
          </w:p>
          <w:p>
            <w:pPr>
              <w:rPr>
                <w:rFonts w:hint="eastAsia" w:ascii="宋体" w:hAnsi="宋体"/>
                <w:color w:val="auto"/>
                <w:kern w:val="0"/>
                <w:szCs w:val="21"/>
                <w:lang w:eastAsia="zh-CN"/>
              </w:rPr>
            </w:pPr>
            <w:r>
              <w:rPr>
                <w:rFonts w:hint="eastAsia" w:ascii="宋体" w:hAnsi="宋体"/>
                <w:color w:val="auto"/>
                <w:kern w:val="0"/>
                <w:szCs w:val="21"/>
                <w:lang w:eastAsia="zh-CN"/>
              </w:rPr>
              <w:t xml:space="preserve">投标人商了解项目要求及服务内容，主要服务方法及服务指标满足采购人基本需求，得 </w:t>
            </w:r>
            <w:r>
              <w:rPr>
                <w:rFonts w:hint="eastAsia" w:ascii="宋体" w:hAnsi="宋体"/>
                <w:color w:val="auto"/>
                <w:kern w:val="0"/>
                <w:szCs w:val="21"/>
                <w:lang w:val="en-US" w:eastAsia="zh-CN"/>
              </w:rPr>
              <w:t>2</w:t>
            </w:r>
            <w:r>
              <w:rPr>
                <w:rFonts w:hint="eastAsia" w:ascii="宋体" w:hAnsi="宋体"/>
                <w:color w:val="auto"/>
                <w:kern w:val="0"/>
                <w:szCs w:val="21"/>
                <w:lang w:eastAsia="zh-CN"/>
              </w:rPr>
              <w:t xml:space="preserve"> 分；</w:t>
            </w:r>
          </w:p>
          <w:p>
            <w:pPr>
              <w:rPr>
                <w:rFonts w:hint="eastAsia" w:ascii="宋体" w:hAnsi="宋体"/>
                <w:color w:val="auto"/>
                <w:kern w:val="0"/>
                <w:szCs w:val="21"/>
                <w:lang w:eastAsia="zh-CN"/>
              </w:rPr>
            </w:pPr>
            <w:r>
              <w:rPr>
                <w:rFonts w:hint="eastAsia" w:ascii="宋体" w:hAnsi="宋体"/>
                <w:color w:val="auto"/>
                <w:kern w:val="0"/>
                <w:szCs w:val="21"/>
                <w:lang w:eastAsia="zh-CN"/>
              </w:rPr>
              <w:t>投标人不了解项目要求及服务内容，主要服务方法及服务指标不满足采购人需求，1 分。</w:t>
            </w:r>
          </w:p>
        </w:tc>
        <w:tc>
          <w:tcPr>
            <w:tcW w:w="862" w:type="dxa"/>
            <w:tcMar>
              <w:top w:w="85" w:type="dxa"/>
              <w:bottom w:w="85" w:type="dxa"/>
            </w:tcMar>
            <w:vAlign w:val="center"/>
          </w:tcPr>
          <w:p>
            <w:pPr>
              <w:adjustRightInd w:val="0"/>
              <w:snapToGrid w:val="0"/>
              <w:jc w:val="center"/>
              <w:rPr>
                <w:rFonts w:hint="default" w:ascii="宋体" w:hAnsi="宋体"/>
                <w:color w:val="auto"/>
                <w:szCs w:val="21"/>
                <w:lang w:val="en-US" w:eastAsia="zh-CN"/>
              </w:rPr>
            </w:pPr>
            <w:r>
              <w:rPr>
                <w:rFonts w:hint="eastAsia" w:ascii="宋体" w:hAnsi="宋体"/>
                <w:color w:val="auto"/>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default" w:ascii="宋体" w:cs="宋体"/>
                <w:color w:val="auto"/>
                <w:szCs w:val="21"/>
                <w:lang w:val="en-US" w:eastAsia="zh-CN"/>
              </w:rPr>
            </w:pPr>
            <w:r>
              <w:rPr>
                <w:rFonts w:hint="eastAsia" w:ascii="宋体" w:cs="宋体"/>
                <w:color w:val="auto"/>
                <w:szCs w:val="21"/>
                <w:lang w:val="en-US" w:eastAsia="zh-CN"/>
              </w:rPr>
              <w:t>8</w:t>
            </w:r>
          </w:p>
        </w:tc>
        <w:tc>
          <w:tcPr>
            <w:tcW w:w="2261" w:type="dxa"/>
            <w:tcMar>
              <w:top w:w="85" w:type="dxa"/>
              <w:bottom w:w="85" w:type="dxa"/>
            </w:tcMar>
            <w:vAlign w:val="center"/>
          </w:tcPr>
          <w:p>
            <w:pPr>
              <w:adjustRightInd w:val="0"/>
              <w:snapToGrid w:val="0"/>
              <w:jc w:val="center"/>
              <w:rPr>
                <w:rFonts w:hint="eastAsia" w:ascii="宋体" w:hAnsi="宋体" w:eastAsia="宋体"/>
                <w:color w:val="auto"/>
                <w:kern w:val="0"/>
                <w:szCs w:val="21"/>
                <w:lang w:eastAsia="zh-CN"/>
              </w:rPr>
            </w:pPr>
            <w:r>
              <w:rPr>
                <w:rFonts w:hint="eastAsia" w:ascii="宋体" w:hAnsi="宋体" w:eastAsia="宋体"/>
                <w:color w:val="auto"/>
                <w:kern w:val="0"/>
                <w:szCs w:val="21"/>
                <w:lang w:eastAsia="zh-CN"/>
              </w:rPr>
              <w:t>应急服务措施</w:t>
            </w:r>
          </w:p>
        </w:tc>
        <w:tc>
          <w:tcPr>
            <w:tcW w:w="5760" w:type="dxa"/>
            <w:tcMar>
              <w:top w:w="85" w:type="dxa"/>
              <w:bottom w:w="85" w:type="dxa"/>
            </w:tcMar>
            <w:vAlign w:val="center"/>
          </w:tcPr>
          <w:p>
            <w:pPr>
              <w:rPr>
                <w:rFonts w:hint="default" w:ascii="宋体" w:hAnsi="宋体" w:eastAsia="宋体"/>
                <w:color w:val="auto"/>
                <w:kern w:val="0"/>
                <w:szCs w:val="21"/>
                <w:lang w:val="en-US" w:eastAsia="zh-CN"/>
              </w:rPr>
            </w:pPr>
            <w:r>
              <w:rPr>
                <w:rFonts w:hint="default" w:ascii="宋体" w:hAnsi="宋体" w:eastAsia="宋体"/>
                <w:color w:val="auto"/>
                <w:kern w:val="0"/>
                <w:szCs w:val="21"/>
                <w:lang w:val="en-US" w:eastAsia="zh-CN"/>
              </w:rPr>
              <w:t>根据响应供应商的应急服务措施（包括但不限于在现场过程中的医疗应急事件、设备故障、人员集中、排队等候时间长等可能引发的问题和突发、意外事故应急预案的）进行评审：</w:t>
            </w:r>
          </w:p>
          <w:p>
            <w:pPr>
              <w:rPr>
                <w:rFonts w:hint="default" w:ascii="宋体" w:hAnsi="宋体" w:eastAsia="宋体"/>
                <w:color w:val="auto"/>
                <w:kern w:val="0"/>
                <w:szCs w:val="21"/>
                <w:lang w:val="en-US" w:eastAsia="zh-CN"/>
              </w:rPr>
            </w:pPr>
            <w:r>
              <w:rPr>
                <w:rFonts w:hint="default" w:ascii="宋体" w:hAnsi="宋体" w:eastAsia="宋体"/>
                <w:color w:val="auto"/>
                <w:kern w:val="0"/>
                <w:szCs w:val="21"/>
                <w:lang w:val="en-US" w:eastAsia="zh-CN"/>
              </w:rPr>
              <w:t xml:space="preserve">涵盖上述所有内容且方案内容详尽、详细完整，流程科学合理，可行性高、可操作性高，得5分； </w:t>
            </w:r>
          </w:p>
          <w:p>
            <w:pPr>
              <w:rPr>
                <w:rFonts w:hint="default" w:ascii="宋体" w:hAnsi="宋体" w:eastAsia="宋体"/>
                <w:color w:val="auto"/>
                <w:kern w:val="0"/>
                <w:szCs w:val="21"/>
                <w:lang w:val="en-US" w:eastAsia="zh-CN"/>
              </w:rPr>
            </w:pPr>
            <w:r>
              <w:rPr>
                <w:rFonts w:hint="default" w:ascii="宋体" w:hAnsi="宋体" w:eastAsia="宋体"/>
                <w:color w:val="auto"/>
                <w:kern w:val="0"/>
                <w:szCs w:val="21"/>
                <w:lang w:val="en-US" w:eastAsia="zh-CN"/>
              </w:rPr>
              <w:t>涵盖上述所有内容但方案内容完整但严谨性不高，流程合理，可行性较高、具有一定的可操作性，得3分；</w:t>
            </w:r>
          </w:p>
          <w:p>
            <w:pPr>
              <w:rPr>
                <w:rFonts w:hint="default" w:ascii="宋体" w:hAnsi="宋体" w:eastAsia="宋体"/>
                <w:color w:val="auto"/>
                <w:kern w:val="0"/>
                <w:szCs w:val="21"/>
                <w:lang w:val="en-US" w:eastAsia="zh-CN"/>
              </w:rPr>
            </w:pPr>
            <w:r>
              <w:rPr>
                <w:rFonts w:hint="default" w:ascii="宋体" w:hAnsi="宋体" w:eastAsia="宋体"/>
                <w:color w:val="auto"/>
                <w:kern w:val="0"/>
                <w:szCs w:val="21"/>
                <w:lang w:val="en-US" w:eastAsia="zh-CN"/>
              </w:rPr>
              <w:t>涵盖上述所有内容但方案内容简单，流程科学但不够合理，缺乏可行性及可操作性，得2分；</w:t>
            </w:r>
          </w:p>
          <w:p>
            <w:pPr>
              <w:rPr>
                <w:rFonts w:hint="default" w:ascii="宋体" w:hAnsi="宋体" w:eastAsia="宋体"/>
                <w:color w:val="auto"/>
                <w:kern w:val="0"/>
                <w:szCs w:val="21"/>
                <w:lang w:val="en-US" w:eastAsia="zh-CN"/>
              </w:rPr>
            </w:pPr>
            <w:r>
              <w:rPr>
                <w:rFonts w:hint="default" w:ascii="宋体" w:hAnsi="宋体" w:eastAsia="宋体"/>
                <w:color w:val="auto"/>
                <w:kern w:val="0"/>
                <w:szCs w:val="21"/>
                <w:lang w:val="en-US" w:eastAsia="zh-CN"/>
              </w:rPr>
              <w:t xml:space="preserve">涵盖上述所有内容但体检服务方案不全面，缺乏合理，操作性差，得1分； </w:t>
            </w:r>
          </w:p>
          <w:p>
            <w:pPr>
              <w:rPr>
                <w:rFonts w:hint="default" w:ascii="宋体" w:hAnsi="宋体" w:eastAsia="宋体"/>
                <w:color w:val="auto"/>
                <w:kern w:val="0"/>
                <w:szCs w:val="21"/>
                <w:lang w:val="en-US" w:eastAsia="zh-CN"/>
              </w:rPr>
            </w:pPr>
            <w:r>
              <w:rPr>
                <w:rFonts w:hint="default" w:ascii="宋体" w:hAnsi="宋体" w:eastAsia="宋体"/>
                <w:color w:val="auto"/>
                <w:kern w:val="0"/>
                <w:szCs w:val="21"/>
                <w:lang w:val="en-US" w:eastAsia="zh-CN"/>
              </w:rPr>
              <w:t>无或其他情形不得分。</w:t>
            </w:r>
          </w:p>
        </w:tc>
        <w:tc>
          <w:tcPr>
            <w:tcW w:w="862" w:type="dxa"/>
            <w:tcMar>
              <w:top w:w="85" w:type="dxa"/>
              <w:bottom w:w="85" w:type="dxa"/>
            </w:tcMar>
            <w:vAlign w:val="center"/>
          </w:tcPr>
          <w:p>
            <w:pPr>
              <w:adjustRightInd w:val="0"/>
              <w:snapToGrid w:val="0"/>
              <w:jc w:val="center"/>
              <w:rPr>
                <w:rFonts w:hint="default" w:ascii="宋体" w:hAnsi="宋体"/>
                <w:color w:val="auto"/>
                <w:szCs w:val="21"/>
                <w:lang w:val="en-US" w:eastAsia="zh-CN"/>
              </w:rPr>
            </w:pPr>
            <w:r>
              <w:rPr>
                <w:rFonts w:hint="eastAsia" w:ascii="宋体" w:hAnsi="宋体"/>
                <w:color w:val="auto"/>
                <w:szCs w:val="21"/>
                <w:lang w:val="en-US" w:eastAsia="zh-CN"/>
              </w:rPr>
              <w:t>5</w:t>
            </w:r>
          </w:p>
        </w:tc>
      </w:tr>
    </w:tbl>
    <w:p>
      <w:pPr>
        <w:adjustRightInd w:val="0"/>
        <w:snapToGrid w:val="0"/>
        <w:rPr>
          <w:rFonts w:ascii="宋体" w:hAnsi="宋体" w:cs="宋体"/>
          <w:szCs w:val="21"/>
        </w:rPr>
      </w:pPr>
    </w:p>
    <w:p>
      <w:pPr>
        <w:spacing w:line="360" w:lineRule="auto"/>
        <w:ind w:firstLine="420"/>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价格评分</w:t>
      </w:r>
    </w:p>
    <w:p>
      <w:pPr>
        <w:spacing w:line="360" w:lineRule="auto"/>
        <w:ind w:firstLine="420"/>
        <w:rPr>
          <w:rFonts w:ascii="宋体" w:hAnsi="宋体"/>
          <w:color w:val="000000"/>
          <w:sz w:val="24"/>
        </w:rPr>
      </w:pPr>
      <w:r>
        <w:rPr>
          <w:rFonts w:hint="eastAsia" w:ascii="宋体" w:hAnsi="宋体"/>
          <w:color w:val="000000"/>
          <w:sz w:val="24"/>
        </w:rPr>
        <w:t>经评标委员会审核后，以满足招标文件要求且有效的最低评标价格定为评标基准价，其价格分为满分，其他投标人的价格分统一按下列公式折算递减：</w:t>
      </w:r>
    </w:p>
    <w:p>
      <w:pPr>
        <w:spacing w:line="360" w:lineRule="auto"/>
        <w:ind w:firstLine="420"/>
        <w:rPr>
          <w:rFonts w:ascii="宋体" w:hAnsi="宋体"/>
          <w:color w:val="000000"/>
          <w:sz w:val="24"/>
        </w:rPr>
      </w:pPr>
      <w:r>
        <w:rPr>
          <w:rFonts w:hint="eastAsia" w:ascii="宋体" w:hAnsi="宋体"/>
          <w:color w:val="000000"/>
          <w:sz w:val="24"/>
        </w:rPr>
        <w:t>投标报价得分＝(评标基准价/投标报价)×30</w:t>
      </w:r>
    </w:p>
    <w:p>
      <w:pPr>
        <w:spacing w:line="360" w:lineRule="auto"/>
        <w:ind w:firstLine="420"/>
        <w:rPr>
          <w:rFonts w:ascii="宋体" w:hAnsi="宋体"/>
          <w:color w:val="000000"/>
          <w:sz w:val="24"/>
        </w:rPr>
      </w:pPr>
      <w:r>
        <w:rPr>
          <w:rFonts w:hint="eastAsia" w:ascii="宋体" w:hAnsi="宋体"/>
          <w:color w:val="000000"/>
          <w:sz w:val="24"/>
        </w:rPr>
        <w:t>注：超过此本项目预算价的投标作无效投标处理。价格评分仅限于通过符合性审查的有效投标人。</w:t>
      </w:r>
    </w:p>
    <w:p>
      <w:pPr>
        <w:spacing w:line="360" w:lineRule="auto"/>
        <w:ind w:firstLine="420"/>
        <w:rPr>
          <w:rFonts w:ascii="宋体" w:hAnsi="宋体"/>
          <w:color w:val="000000"/>
          <w:sz w:val="24"/>
        </w:rPr>
      </w:pPr>
      <w:r>
        <w:rPr>
          <w:rFonts w:hint="eastAsia" w:ascii="宋体" w:hAnsi="宋体"/>
          <w:color w:val="000000"/>
          <w:sz w:val="24"/>
        </w:rPr>
        <w:t>（三）确定中标单位</w:t>
      </w:r>
    </w:p>
    <w:p>
      <w:pPr>
        <w:spacing w:line="360" w:lineRule="auto"/>
        <w:ind w:firstLine="420"/>
        <w:rPr>
          <w:rFonts w:ascii="宋体" w:hAnsi="宋体"/>
          <w:color w:val="000000"/>
          <w:sz w:val="24"/>
        </w:rPr>
      </w:pPr>
      <w:r>
        <w:rPr>
          <w:rFonts w:hint="eastAsia" w:ascii="宋体" w:hAnsi="宋体"/>
          <w:color w:val="000000"/>
          <w:sz w:val="24"/>
        </w:rPr>
        <w:t>根据上述的评标办法，评出本项目的中标单位，并将评审结果上报学院领导确认。中标通知书经确认后由招标人签发。招标人不接受非中标单位的查询，也不对不中标原因作出任何解释。</w:t>
      </w:r>
    </w:p>
    <w:p>
      <w:pPr>
        <w:spacing w:line="360" w:lineRule="auto"/>
        <w:ind w:firstLine="420"/>
        <w:rPr>
          <w:rFonts w:ascii="宋体" w:hAnsi="宋体"/>
          <w:color w:val="000000"/>
          <w:sz w:val="24"/>
        </w:rPr>
      </w:pPr>
      <w:r>
        <w:rPr>
          <w:rFonts w:hint="eastAsia" w:ascii="宋体" w:hAnsi="宋体"/>
          <w:color w:val="000000"/>
          <w:sz w:val="24"/>
        </w:rPr>
        <w:t>本招标文件的解释权和修正权归招标人所有。</w:t>
      </w:r>
    </w:p>
    <w:p>
      <w:pPr>
        <w:spacing w:line="360" w:lineRule="auto"/>
        <w:ind w:firstLine="420"/>
        <w:rPr>
          <w:rFonts w:ascii="宋体" w:hAnsi="宋体"/>
          <w:color w:val="000000"/>
          <w:sz w:val="24"/>
        </w:rPr>
      </w:pPr>
    </w:p>
    <w:p>
      <w:pPr>
        <w:spacing w:line="360" w:lineRule="auto"/>
        <w:ind w:firstLine="420"/>
        <w:rPr>
          <w:rFonts w:ascii="宋体" w:hAnsi="宋体"/>
          <w:color w:val="000000"/>
          <w:sz w:val="24"/>
        </w:rPr>
      </w:pPr>
    </w:p>
    <w:p>
      <w:pPr>
        <w:spacing w:line="360" w:lineRule="auto"/>
        <w:ind w:firstLine="420"/>
        <w:rPr>
          <w:rFonts w:ascii="宋体" w:hAnsi="宋体"/>
          <w:color w:val="000000"/>
          <w:sz w:val="24"/>
        </w:rPr>
      </w:pPr>
    </w:p>
    <w:p>
      <w:pPr>
        <w:spacing w:line="360" w:lineRule="auto"/>
        <w:ind w:firstLine="420"/>
        <w:rPr>
          <w:rFonts w:ascii="宋体" w:hAnsi="宋体"/>
          <w:color w:val="000000"/>
          <w:sz w:val="24"/>
        </w:rPr>
      </w:pPr>
    </w:p>
    <w:p>
      <w:pPr>
        <w:spacing w:line="360" w:lineRule="exact"/>
        <w:rPr>
          <w:rFonts w:ascii="宋体" w:hAnsi="宋体"/>
          <w:b/>
          <w:kern w:val="28"/>
          <w:sz w:val="36"/>
          <w:szCs w:val="36"/>
        </w:rPr>
      </w:pPr>
    </w:p>
    <w:p>
      <w:pPr>
        <w:rPr>
          <w:rFonts w:hint="eastAsia" w:ascii="宋体" w:hAnsi="宋体"/>
          <w:b/>
          <w:kern w:val="28"/>
          <w:sz w:val="36"/>
          <w:szCs w:val="36"/>
        </w:rPr>
      </w:pPr>
      <w:r>
        <w:rPr>
          <w:rFonts w:hint="eastAsia" w:ascii="宋体" w:hAnsi="宋体"/>
          <w:b/>
          <w:kern w:val="28"/>
          <w:sz w:val="36"/>
          <w:szCs w:val="36"/>
        </w:rPr>
        <w:br w:type="page"/>
      </w:r>
    </w:p>
    <w:p>
      <w:pPr>
        <w:spacing w:line="360" w:lineRule="auto"/>
        <w:jc w:val="center"/>
        <w:rPr>
          <w:rFonts w:ascii="宋体" w:hAnsi="宋体"/>
          <w:b/>
          <w:kern w:val="28"/>
          <w:sz w:val="36"/>
          <w:szCs w:val="36"/>
        </w:rPr>
      </w:pPr>
      <w:r>
        <w:rPr>
          <w:rFonts w:hint="eastAsia" w:ascii="宋体" w:hAnsi="宋体"/>
          <w:b/>
          <w:kern w:val="28"/>
          <w:sz w:val="36"/>
          <w:szCs w:val="36"/>
        </w:rPr>
        <w:t>投标文件格式</w:t>
      </w:r>
    </w:p>
    <w:p>
      <w:pPr>
        <w:spacing w:line="360" w:lineRule="exact"/>
        <w:jc w:val="center"/>
        <w:rPr>
          <w:rFonts w:ascii="宋体" w:hAnsi="宋体"/>
          <w:b/>
          <w:kern w:val="28"/>
          <w:sz w:val="36"/>
          <w:szCs w:val="36"/>
        </w:rPr>
      </w:pPr>
      <w:r>
        <w:rPr>
          <w:rFonts w:hint="eastAsia" w:ascii="宋体" w:hAnsi="宋体"/>
          <w:b/>
          <w:kern w:val="28"/>
          <w:sz w:val="36"/>
          <w:szCs w:val="36"/>
        </w:rPr>
        <w:t>报 价 函</w:t>
      </w:r>
    </w:p>
    <w:p>
      <w:pPr>
        <w:shd w:val="clear" w:color="auto" w:fill="FFFFFF"/>
        <w:spacing w:line="400" w:lineRule="exact"/>
        <w:rPr>
          <w:rFonts w:ascii="宋体" w:hAnsi="宋体"/>
          <w:sz w:val="24"/>
        </w:rPr>
      </w:pPr>
      <w:r>
        <w:rPr>
          <w:rFonts w:hint="eastAsia" w:ascii="宋体" w:hAnsi="宋体"/>
          <w:sz w:val="24"/>
        </w:rPr>
        <w:t> 广东省粤东技师学院：</w:t>
      </w:r>
    </w:p>
    <w:p>
      <w:pPr>
        <w:spacing w:line="400" w:lineRule="exact"/>
        <w:ind w:firstLine="720" w:firstLineChars="300"/>
        <w:rPr>
          <w:rFonts w:ascii="宋体" w:hAnsi="宋体"/>
          <w:sz w:val="24"/>
          <w:u w:val="single"/>
        </w:rPr>
      </w:pPr>
      <w:r>
        <w:rPr>
          <w:rFonts w:hint="eastAsia" w:ascii="宋体" w:hAnsi="宋体"/>
          <w:sz w:val="24"/>
        </w:rPr>
        <w:t>我方己仔细研究了</w:t>
      </w:r>
      <w:r>
        <w:rPr>
          <w:rFonts w:hint="eastAsia" w:ascii="宋体" w:hAnsi="宋体"/>
          <w:sz w:val="24"/>
          <w:lang w:eastAsia="zh-CN"/>
        </w:rPr>
        <w:t>2024年新生体检服务项目</w:t>
      </w:r>
      <w:r>
        <w:rPr>
          <w:rFonts w:hint="eastAsia" w:ascii="宋体" w:hAnsi="宋体" w:cs="Tahoma"/>
          <w:kern w:val="28"/>
          <w:sz w:val="24"/>
        </w:rPr>
        <w:t>（采购编号：</w:t>
      </w:r>
      <w:r>
        <w:rPr>
          <w:rFonts w:hint="eastAsia" w:ascii="宋体" w:hAnsi="宋体" w:cs="Tahoma"/>
          <w:kern w:val="28"/>
          <w:sz w:val="24"/>
          <w:lang w:eastAsia="zh-CN"/>
        </w:rPr>
        <w:t>XSGZB2024004</w:t>
      </w:r>
      <w:r>
        <w:rPr>
          <w:rFonts w:hint="eastAsia" w:ascii="宋体" w:hAnsi="宋体" w:cs="Tahoma"/>
          <w:kern w:val="28"/>
          <w:sz w:val="24"/>
        </w:rPr>
        <w:t>）</w:t>
      </w:r>
      <w:r>
        <w:rPr>
          <w:rFonts w:hint="eastAsia" w:ascii="宋体" w:hAnsi="宋体"/>
          <w:sz w:val="24"/>
        </w:rPr>
        <w:t>项目招标文件的全部内容，愿意以人民币（大写）</w:t>
      </w:r>
      <w:r>
        <w:rPr>
          <w:rFonts w:hint="eastAsia" w:ascii="宋体" w:hAnsi="宋体"/>
          <w:sz w:val="24"/>
          <w:u w:val="single"/>
        </w:rPr>
        <w:t xml:space="preserve">                                                         </w:t>
      </w:r>
    </w:p>
    <w:p>
      <w:pPr>
        <w:shd w:val="clear" w:color="auto" w:fill="FFFFFF"/>
        <w:spacing w:line="400" w:lineRule="exact"/>
        <w:rPr>
          <w:rFonts w:hint="eastAsia" w:ascii="宋体" w:hAnsi="宋体"/>
          <w:sz w:val="24"/>
        </w:rPr>
      </w:pPr>
      <w:r>
        <w:rPr>
          <w:rFonts w:hint="eastAsia" w:ascii="宋体" w:hAnsi="宋体"/>
          <w:sz w:val="24"/>
        </w:rPr>
        <w:t>（￥</w:t>
      </w:r>
      <w:r>
        <w:rPr>
          <w:rFonts w:hint="eastAsia" w:ascii="宋体" w:hAnsi="宋体"/>
          <w:sz w:val="24"/>
          <w:u w:val="single"/>
        </w:rPr>
        <w:t>                   </w:t>
      </w:r>
      <w:r>
        <w:rPr>
          <w:rFonts w:hint="eastAsia" w:ascii="宋体" w:hAnsi="宋体"/>
          <w:sz w:val="24"/>
        </w:rPr>
        <w:t>）作为本项目</w:t>
      </w:r>
      <w:r>
        <w:rPr>
          <w:rFonts w:hint="eastAsia" w:ascii="宋体" w:hAnsi="宋体"/>
          <w:sz w:val="24"/>
          <w:lang w:eastAsia="zh-CN"/>
        </w:rPr>
        <w:t>报价</w:t>
      </w:r>
      <w:r>
        <w:rPr>
          <w:rFonts w:hint="eastAsia" w:ascii="宋体" w:hAnsi="宋体"/>
          <w:sz w:val="24"/>
        </w:rPr>
        <w:t>。详见以下报价表：</w:t>
      </w:r>
    </w:p>
    <w:p>
      <w:pPr>
        <w:shd w:val="clear" w:color="auto" w:fill="FFFFFF"/>
        <w:spacing w:line="400" w:lineRule="exact"/>
        <w:rPr>
          <w:rFonts w:hint="eastAsia" w:ascii="宋体" w:hAnsi="宋体"/>
          <w:sz w:val="24"/>
        </w:rPr>
      </w:pPr>
    </w:p>
    <w:p>
      <w:pPr>
        <w:pStyle w:val="4"/>
        <w:ind w:firstLine="480"/>
        <w:jc w:val="center"/>
        <w:rPr>
          <w:rFonts w:hint="eastAsia" w:ascii="宋体" w:hAnsi="宋体"/>
          <w:sz w:val="24"/>
        </w:rPr>
      </w:pPr>
      <w:r>
        <w:rPr>
          <w:rFonts w:hint="eastAsia" w:ascii="宋体" w:hAnsi="宋体"/>
          <w:sz w:val="24"/>
        </w:rPr>
        <w:t>服务内容</w:t>
      </w:r>
    </w:p>
    <w:p>
      <w:pPr>
        <w:pStyle w:val="4"/>
        <w:ind w:firstLine="480"/>
        <w:jc w:val="center"/>
        <w:rPr>
          <w:rFonts w:hint="eastAsia" w:ascii="宋体" w:hAnsi="宋体"/>
          <w:sz w:val="24"/>
        </w:rPr>
      </w:pPr>
    </w:p>
    <w:tbl>
      <w:tblPr>
        <w:tblStyle w:val="17"/>
        <w:tblW w:w="4961" w:type="pct"/>
        <w:tblInd w:w="0" w:type="dxa"/>
        <w:tblLayout w:type="fixed"/>
        <w:tblCellMar>
          <w:top w:w="0" w:type="dxa"/>
          <w:left w:w="0" w:type="dxa"/>
          <w:bottom w:w="0" w:type="dxa"/>
          <w:right w:w="0" w:type="dxa"/>
        </w:tblCellMar>
      </w:tblPr>
      <w:tblGrid>
        <w:gridCol w:w="899"/>
        <w:gridCol w:w="1248"/>
        <w:gridCol w:w="5808"/>
        <w:gridCol w:w="1538"/>
      </w:tblGrid>
      <w:tr>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序号</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检查项目</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检查内容</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价格</w:t>
            </w:r>
          </w:p>
        </w:tc>
      </w:tr>
      <w:tr>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一般检查</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身高、体重、血压</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内科</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（包括脉搏、心肺、肝脾、肺结核病症状筛选）</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3</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外科</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（包括头部、颈部、甲状腺、胸部、腹部、脊柱、四肢、皮肤）</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4</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五官科</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（包括视力、辨色力、耳、听力、嗅觉、眼鼻、喉、扁桃体）</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5</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化验</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血常规、肝功能：（谷丙转氨酶、谷草转氨酶、总蛋白、白蛋白、球蛋白、总胆红素、直接胆红素、间接胆红素）</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6</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DR</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胸部正位片</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rPr>
            </w:pPr>
          </w:p>
        </w:tc>
      </w:tr>
      <w:tr>
        <w:tblPrEx>
          <w:tblCellMar>
            <w:top w:w="0" w:type="dxa"/>
            <w:left w:w="0" w:type="dxa"/>
            <w:bottom w:w="0" w:type="dxa"/>
            <w:right w:w="0" w:type="dxa"/>
          </w:tblCellMar>
        </w:tblPrEx>
        <w:trPr>
          <w:trHeight w:val="600" w:hRule="atLeast"/>
        </w:trPr>
        <w:tc>
          <w:tcPr>
            <w:tcW w:w="419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合计：</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rPr>
            </w:pPr>
          </w:p>
        </w:tc>
      </w:tr>
    </w:tbl>
    <w:p>
      <w:pPr>
        <w:rPr>
          <w:sz w:val="36"/>
          <w:szCs w:val="36"/>
        </w:rPr>
      </w:pPr>
    </w:p>
    <w:p>
      <w:pPr>
        <w:shd w:val="clear" w:color="auto" w:fill="FFFFFF"/>
        <w:spacing w:line="360" w:lineRule="atLeast"/>
        <w:rPr>
          <w:rFonts w:ascii="宋体" w:hAnsi="宋体"/>
          <w:sz w:val="24"/>
        </w:rPr>
      </w:pPr>
    </w:p>
    <w:p>
      <w:pPr>
        <w:shd w:val="clear" w:color="auto" w:fill="FFFFFF"/>
        <w:spacing w:line="360" w:lineRule="atLeast"/>
        <w:ind w:firstLine="480"/>
      </w:pPr>
      <w:r>
        <w:rPr>
          <w:rFonts w:hint="eastAsia" w:ascii="宋体" w:hAnsi="宋体"/>
          <w:sz w:val="24"/>
        </w:rPr>
        <w:t>在此，我方声明如下：</w:t>
      </w:r>
    </w:p>
    <w:p>
      <w:pPr>
        <w:shd w:val="clear" w:color="auto" w:fill="FFFFFF"/>
        <w:spacing w:line="360" w:lineRule="atLeast"/>
        <w:ind w:firstLine="480"/>
        <w:rPr>
          <w:rFonts w:ascii="宋体" w:hAnsi="宋体"/>
          <w:sz w:val="24"/>
        </w:rPr>
      </w:pPr>
      <w:r>
        <w:rPr>
          <w:rFonts w:hint="eastAsia" w:ascii="宋体" w:hAnsi="宋体"/>
          <w:sz w:val="24"/>
        </w:rPr>
        <w:t>1.同意并接受采购文件的各项要求，遵守采购文件中的各项规定，按采购文件的要求提供报价。</w:t>
      </w:r>
    </w:p>
    <w:p>
      <w:pPr>
        <w:shd w:val="clear" w:color="auto" w:fill="FFFFFF"/>
        <w:spacing w:line="360" w:lineRule="atLeast"/>
        <w:ind w:firstLine="480"/>
        <w:rPr>
          <w:rFonts w:ascii="宋体" w:hAnsi="宋体"/>
          <w:sz w:val="24"/>
        </w:rPr>
      </w:pPr>
      <w:r>
        <w:rPr>
          <w:rFonts w:hint="eastAsia" w:ascii="宋体" w:hAnsi="宋体"/>
          <w:sz w:val="24"/>
        </w:rPr>
        <w:t>2. 我方如果是中标供应商，将保证履行</w:t>
      </w:r>
      <w:r>
        <w:rPr>
          <w:rFonts w:hint="eastAsia" w:ascii="宋体" w:hAnsi="宋体"/>
          <w:color w:val="000000"/>
          <w:sz w:val="24"/>
        </w:rPr>
        <w:t>招标</w:t>
      </w:r>
      <w:r>
        <w:rPr>
          <w:rFonts w:hint="eastAsia" w:ascii="宋体" w:hAnsi="宋体"/>
          <w:sz w:val="24"/>
        </w:rPr>
        <w:t>文件中的全部责任和义务，按质、按量、按期完成。</w:t>
      </w:r>
    </w:p>
    <w:p>
      <w:pPr>
        <w:shd w:val="clear" w:color="auto" w:fill="FFFFFF"/>
        <w:spacing w:line="360" w:lineRule="atLeast"/>
        <w:ind w:firstLine="480"/>
        <w:rPr>
          <w:rFonts w:ascii="宋体" w:hAnsi="宋体"/>
          <w:sz w:val="24"/>
        </w:rPr>
      </w:pPr>
      <w:r>
        <w:rPr>
          <w:rFonts w:hint="eastAsia" w:ascii="宋体" w:hAnsi="宋体"/>
          <w:sz w:val="24"/>
        </w:rPr>
        <w:t>3.我方承诺在本次报价响应中提供的一切文件，无论是原件还是复印件均为真实和准确的，绝无任何虚假、伪造和夸大的成份，否则，愿承担相应的后果和法律责任。</w:t>
      </w:r>
    </w:p>
    <w:p>
      <w:pPr>
        <w:shd w:val="clear" w:color="auto" w:fill="FFFFFF"/>
        <w:spacing w:line="360" w:lineRule="atLeast"/>
        <w:ind w:firstLine="480"/>
        <w:rPr>
          <w:rFonts w:ascii="宋体" w:hAnsi="宋体"/>
          <w:sz w:val="24"/>
        </w:rPr>
      </w:pPr>
      <w:r>
        <w:rPr>
          <w:rFonts w:hint="eastAsia" w:ascii="宋体" w:hAnsi="宋体"/>
          <w:sz w:val="24"/>
        </w:rPr>
        <w:t>4.我方完全服从和尊重学院评标委员会所作的评定结果。</w:t>
      </w:r>
    </w:p>
    <w:p>
      <w:pPr>
        <w:shd w:val="clear" w:color="auto" w:fill="FFFFFF"/>
        <w:spacing w:line="440" w:lineRule="exact"/>
        <w:rPr>
          <w:rFonts w:ascii="仿宋_GB2312" w:eastAsia="仿宋_GB2312"/>
          <w:sz w:val="24"/>
          <w:u w:val="single"/>
        </w:rPr>
      </w:pPr>
      <w:r>
        <w:rPr>
          <w:rFonts w:hint="eastAsia" w:ascii="宋体" w:hAnsi="宋体"/>
          <w:sz w:val="24"/>
        </w:rPr>
        <w:t>响应供应商名称(公章)</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rPr>
          <w:rFonts w:ascii="仿宋_GB2312" w:eastAsia="仿宋_GB2312"/>
          <w:sz w:val="24"/>
          <w:u w:val="single"/>
        </w:rPr>
      </w:pPr>
      <w:r>
        <w:rPr>
          <w:rFonts w:hint="eastAsia" w:ascii="宋体" w:hAnsi="宋体"/>
          <w:sz w:val="24"/>
        </w:rPr>
        <w:t>地址：</w:t>
      </w:r>
      <w:r>
        <w:rPr>
          <w:rFonts w:hint="eastAsia" w:ascii="仿宋_GB2312" w:eastAsia="仿宋_GB2312"/>
          <w:sz w:val="24"/>
          <w:u w:val="single"/>
        </w:rPr>
        <w:t>                                                                       </w:t>
      </w:r>
    </w:p>
    <w:p>
      <w:pPr>
        <w:shd w:val="clear" w:color="auto" w:fill="FFFFFF"/>
        <w:spacing w:line="440" w:lineRule="exact"/>
        <w:ind w:right="33"/>
        <w:rPr>
          <w:rFonts w:ascii="仿宋_GB2312" w:eastAsia="仿宋_GB2312"/>
          <w:sz w:val="24"/>
        </w:rPr>
      </w:pPr>
      <w:r>
        <w:rPr>
          <w:rFonts w:hint="eastAsia" w:ascii="宋体" w:hAnsi="宋体"/>
          <w:sz w:val="24"/>
        </w:rPr>
        <w:t>电话：</w:t>
      </w:r>
      <w:r>
        <w:rPr>
          <w:rFonts w:hint="eastAsia" w:ascii="仿宋_GB2312" w:eastAsia="仿宋_GB2312"/>
          <w:sz w:val="24"/>
          <w:u w:val="single"/>
        </w:rPr>
        <w:t>                                                                      </w:t>
      </w:r>
    </w:p>
    <w:p>
      <w:pPr>
        <w:shd w:val="clear" w:color="auto" w:fill="FFFFFF"/>
        <w:spacing w:line="440" w:lineRule="exact"/>
        <w:ind w:right="246"/>
        <w:rPr>
          <w:rFonts w:ascii="仿宋_GB2312" w:eastAsia="仿宋_GB2312"/>
          <w:sz w:val="24"/>
          <w:u w:val="single"/>
        </w:rPr>
      </w:pPr>
      <w:r>
        <w:rPr>
          <w:rFonts w:hint="eastAsia" w:ascii="宋体" w:hAnsi="宋体"/>
          <w:sz w:val="24"/>
        </w:rPr>
        <w:t>响应供应商（法定代表人授权代表）代表签字</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rPr>
          <w:rFonts w:ascii="仿宋_GB2312" w:eastAsia="仿宋_GB2312"/>
          <w:sz w:val="24"/>
          <w:u w:val="single"/>
        </w:rPr>
      </w:pPr>
      <w:r>
        <w:rPr>
          <w:rFonts w:hint="eastAsia" w:ascii="宋体" w:hAnsi="宋体"/>
          <w:sz w:val="24"/>
        </w:rPr>
        <w:t>开户银行</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rPr>
          <w:rFonts w:ascii="仿宋_GB2312" w:eastAsia="仿宋_GB2312"/>
          <w:sz w:val="24"/>
        </w:rPr>
      </w:pPr>
      <w:r>
        <w:rPr>
          <w:rFonts w:hint="eastAsia" w:ascii="宋体" w:hAnsi="宋体"/>
          <w:sz w:val="24"/>
        </w:rPr>
        <w:t>帐号</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pPr>
      <w:r>
        <w:rPr>
          <w:rFonts w:hint="eastAsia" w:ascii="宋体" w:hAnsi="宋体"/>
          <w:sz w:val="24"/>
        </w:rPr>
        <w:t>日期</w:t>
      </w:r>
      <w:r>
        <w:rPr>
          <w:rFonts w:hint="eastAsia" w:ascii="仿宋_GB2312" w:eastAsia="仿宋_GB2312"/>
          <w:sz w:val="24"/>
        </w:rPr>
        <w:t>：</w:t>
      </w:r>
      <w:r>
        <w:rPr>
          <w:rFonts w:hint="eastAsia" w:ascii="仿宋_GB2312" w:eastAsia="仿宋_GB2312"/>
          <w:sz w:val="24"/>
          <w:u w:val="single"/>
        </w:rPr>
        <w:t>                                                                     </w:t>
      </w:r>
    </w:p>
    <w:p>
      <w:pPr>
        <w:keepNext/>
        <w:keepLines/>
        <w:tabs>
          <w:tab w:val="left" w:pos="525"/>
        </w:tabs>
        <w:spacing w:before="260" w:after="260" w:line="360" w:lineRule="auto"/>
        <w:rPr>
          <w:rFonts w:hint="eastAsia" w:ascii="宋体" w:hAnsi="宋体" w:cs="宋体"/>
          <w:b/>
          <w:bCs/>
          <w:sz w:val="32"/>
          <w:szCs w:val="32"/>
          <w:lang w:val="zh-CN"/>
        </w:rPr>
      </w:pPr>
      <w:bookmarkStart w:id="3" w:name="_Toc268515023"/>
    </w:p>
    <w:p>
      <w:pPr>
        <w:keepNext/>
        <w:keepLines/>
        <w:tabs>
          <w:tab w:val="left" w:pos="525"/>
        </w:tabs>
        <w:spacing w:before="260" w:after="260" w:line="360" w:lineRule="auto"/>
        <w:rPr>
          <w:rFonts w:hint="eastAsia" w:ascii="宋体" w:hAnsi="宋体" w:cs="宋体"/>
          <w:b/>
          <w:bCs/>
          <w:sz w:val="32"/>
          <w:szCs w:val="32"/>
          <w:lang w:val="zh-CN"/>
        </w:rPr>
      </w:pPr>
    </w:p>
    <w:p>
      <w:pPr>
        <w:keepNext/>
        <w:keepLines/>
        <w:tabs>
          <w:tab w:val="left" w:pos="525"/>
        </w:tabs>
        <w:spacing w:before="260" w:after="260" w:line="360" w:lineRule="auto"/>
        <w:rPr>
          <w:rFonts w:hint="eastAsia" w:ascii="宋体" w:hAnsi="宋体" w:cs="宋体"/>
          <w:b/>
          <w:bCs/>
          <w:sz w:val="32"/>
          <w:szCs w:val="32"/>
          <w:lang w:val="zh-CN"/>
        </w:rPr>
      </w:pPr>
    </w:p>
    <w:p>
      <w:pPr>
        <w:keepNext/>
        <w:keepLines/>
        <w:tabs>
          <w:tab w:val="left" w:pos="525"/>
        </w:tabs>
        <w:spacing w:before="260" w:after="260" w:line="360" w:lineRule="auto"/>
        <w:rPr>
          <w:rFonts w:hint="eastAsia" w:ascii="宋体" w:hAnsi="宋体" w:cs="宋体"/>
          <w:b/>
          <w:bCs/>
          <w:sz w:val="32"/>
          <w:szCs w:val="32"/>
          <w:lang w:val="zh-CN"/>
        </w:rPr>
      </w:pPr>
    </w:p>
    <w:p>
      <w:pPr>
        <w:keepNext/>
        <w:keepLines/>
        <w:tabs>
          <w:tab w:val="left" w:pos="525"/>
        </w:tabs>
        <w:spacing w:before="260" w:after="260" w:line="360" w:lineRule="auto"/>
        <w:rPr>
          <w:rFonts w:hint="eastAsia" w:ascii="宋体" w:hAnsi="宋体" w:cs="宋体"/>
          <w:b/>
          <w:bCs/>
          <w:sz w:val="32"/>
          <w:szCs w:val="32"/>
          <w:lang w:val="zh-CN"/>
        </w:rPr>
      </w:pPr>
    </w:p>
    <w:p>
      <w:pPr>
        <w:keepNext/>
        <w:keepLines/>
        <w:tabs>
          <w:tab w:val="left" w:pos="525"/>
        </w:tabs>
        <w:spacing w:before="260" w:after="260" w:line="360" w:lineRule="auto"/>
        <w:rPr>
          <w:rFonts w:hint="eastAsia" w:ascii="宋体" w:hAnsi="宋体" w:cs="宋体"/>
          <w:b/>
          <w:bCs/>
          <w:sz w:val="32"/>
          <w:szCs w:val="32"/>
          <w:lang w:val="zh-CN"/>
        </w:rPr>
      </w:pPr>
    </w:p>
    <w:p>
      <w:pPr>
        <w:keepNext/>
        <w:keepLines/>
        <w:tabs>
          <w:tab w:val="left" w:pos="525"/>
        </w:tabs>
        <w:spacing w:before="260" w:after="260" w:line="360" w:lineRule="auto"/>
        <w:rPr>
          <w:rFonts w:hint="eastAsia" w:ascii="宋体" w:hAnsi="宋体" w:cs="宋体"/>
          <w:b/>
          <w:bCs/>
          <w:sz w:val="32"/>
          <w:szCs w:val="32"/>
          <w:lang w:val="zh-CN"/>
        </w:rPr>
      </w:pPr>
    </w:p>
    <w:p>
      <w:pPr>
        <w:keepNext/>
        <w:keepLines/>
        <w:pageBreakBefore w:val="0"/>
        <w:widowControl w:val="0"/>
        <w:tabs>
          <w:tab w:val="left" w:pos="525"/>
        </w:tabs>
        <w:kinsoku/>
        <w:wordWrap/>
        <w:overflowPunct/>
        <w:topLinePunct w:val="0"/>
        <w:autoSpaceDE/>
        <w:autoSpaceDN/>
        <w:bidi w:val="0"/>
        <w:spacing w:line="360" w:lineRule="auto"/>
        <w:ind w:left="0" w:firstLine="0"/>
        <w:textAlignment w:val="auto"/>
        <w:rPr>
          <w:rFonts w:hint="eastAsia" w:ascii="宋体" w:hAnsi="宋体" w:cs="宋体"/>
          <w:b/>
          <w:bCs/>
          <w:sz w:val="32"/>
          <w:szCs w:val="32"/>
          <w:lang w:val="zh-CN"/>
        </w:rPr>
      </w:pPr>
    </w:p>
    <w:p>
      <w:pPr>
        <w:keepNext/>
        <w:keepLines/>
        <w:pageBreakBefore w:val="0"/>
        <w:widowControl w:val="0"/>
        <w:tabs>
          <w:tab w:val="left" w:pos="525"/>
        </w:tabs>
        <w:kinsoku/>
        <w:wordWrap/>
        <w:overflowPunct/>
        <w:topLinePunct w:val="0"/>
        <w:autoSpaceDE/>
        <w:autoSpaceDN/>
        <w:bidi w:val="0"/>
        <w:spacing w:line="360" w:lineRule="auto"/>
        <w:ind w:left="0" w:firstLine="0"/>
        <w:textAlignment w:val="auto"/>
        <w:rPr>
          <w:rFonts w:hint="eastAsia" w:ascii="宋体" w:hAnsi="宋体" w:cs="宋体"/>
          <w:b/>
          <w:bCs/>
          <w:sz w:val="32"/>
          <w:szCs w:val="32"/>
          <w:lang w:val="zh-CN"/>
        </w:rPr>
      </w:pPr>
    </w:p>
    <w:p>
      <w:pPr>
        <w:pStyle w:val="22"/>
        <w:rPr>
          <w:rFonts w:hint="eastAsia"/>
          <w:lang w:val="zh-CN"/>
        </w:rPr>
      </w:pPr>
    </w:p>
    <w:p>
      <w:pPr>
        <w:keepNext/>
        <w:keepLines/>
        <w:pageBreakBefore w:val="0"/>
        <w:widowControl w:val="0"/>
        <w:tabs>
          <w:tab w:val="left" w:pos="525"/>
        </w:tabs>
        <w:kinsoku/>
        <w:wordWrap/>
        <w:overflowPunct/>
        <w:topLinePunct w:val="0"/>
        <w:autoSpaceDE/>
        <w:autoSpaceDN/>
        <w:bidi w:val="0"/>
        <w:adjustRightInd/>
        <w:snapToGrid/>
        <w:spacing w:line="360" w:lineRule="auto"/>
        <w:ind w:left="0" w:firstLine="0"/>
        <w:textAlignment w:val="auto"/>
        <w:rPr>
          <w:rFonts w:hint="eastAsia" w:ascii="宋体" w:hAnsi="宋体" w:cs="宋体"/>
          <w:b/>
          <w:bCs/>
          <w:sz w:val="32"/>
          <w:szCs w:val="32"/>
          <w:lang w:val="zh-CN"/>
        </w:rPr>
      </w:pPr>
    </w:p>
    <w:p>
      <w:pPr>
        <w:rPr>
          <w:rFonts w:hint="eastAsia" w:ascii="宋体" w:hAnsi="宋体" w:cs="宋体"/>
          <w:b/>
          <w:bCs/>
          <w:sz w:val="32"/>
          <w:szCs w:val="32"/>
          <w:lang w:val="zh-CN"/>
        </w:rPr>
      </w:pPr>
      <w:r>
        <w:rPr>
          <w:rFonts w:hint="eastAsia" w:ascii="宋体" w:hAnsi="宋体" w:cs="宋体"/>
          <w:b/>
          <w:bCs/>
          <w:sz w:val="32"/>
          <w:szCs w:val="32"/>
          <w:lang w:val="zh-CN"/>
        </w:rPr>
        <w:br w:type="page"/>
      </w:r>
    </w:p>
    <w:p>
      <w:pPr>
        <w:keepNext/>
        <w:keepLines/>
        <w:pageBreakBefore w:val="0"/>
        <w:widowControl w:val="0"/>
        <w:tabs>
          <w:tab w:val="left" w:pos="525"/>
        </w:tabs>
        <w:kinsoku/>
        <w:wordWrap/>
        <w:overflowPunct/>
        <w:topLinePunct w:val="0"/>
        <w:autoSpaceDE/>
        <w:autoSpaceDN/>
        <w:bidi w:val="0"/>
        <w:adjustRightInd/>
        <w:snapToGrid/>
        <w:spacing w:line="360" w:lineRule="auto"/>
        <w:ind w:left="0" w:firstLine="0"/>
        <w:textAlignment w:val="auto"/>
        <w:rPr>
          <w:rFonts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1</w:t>
      </w:r>
      <w:r>
        <w:rPr>
          <w:rFonts w:hint="eastAsia" w:ascii="宋体" w:hAnsi="宋体" w:cs="宋体"/>
          <w:b/>
          <w:bCs/>
          <w:sz w:val="32"/>
          <w:szCs w:val="32"/>
          <w:lang w:val="zh-CN"/>
        </w:rPr>
        <w:t>、</w:t>
      </w:r>
      <w:bookmarkEnd w:id="3"/>
      <w:r>
        <w:rPr>
          <w:rFonts w:hint="eastAsia" w:ascii="宋体" w:hAnsi="宋体" w:cs="宋体"/>
          <w:b/>
          <w:bCs/>
          <w:sz w:val="32"/>
          <w:szCs w:val="32"/>
          <w:lang w:val="zh-CN"/>
        </w:rPr>
        <w:t>报价人通过“信用中国”网站与中国政府采购网查询到的信用记录截图</w:t>
      </w:r>
    </w:p>
    <w:p>
      <w:pPr>
        <w:pageBreakBefore w:val="0"/>
        <w:widowControl w:val="0"/>
        <w:kinsoku/>
        <w:wordWrap/>
        <w:overflowPunct/>
        <w:topLinePunct w:val="0"/>
        <w:autoSpaceDE/>
        <w:autoSpaceDN/>
        <w:bidi w:val="0"/>
        <w:adjustRightInd/>
        <w:snapToGrid/>
        <w:spacing w:line="360" w:lineRule="auto"/>
        <w:ind w:left="0" w:firstLine="0"/>
        <w:textAlignment w:val="auto"/>
        <w:rPr>
          <w:rFonts w:ascii="宋体" w:hAnsi="宋体" w:cs="宋体"/>
          <w:szCs w:val="21"/>
        </w:rPr>
      </w:pPr>
      <w:r>
        <w:rPr>
          <w:rFonts w:hint="eastAsia" w:ascii="宋体" w:hAnsi="宋体" w:cs="宋体"/>
          <w:szCs w:val="21"/>
        </w:rPr>
        <w:t>注：“信用中国”网站网址：www.creditchina.gov.cn；中国政府采购网网址：www.ccgp.gov.cn。</w:t>
      </w:r>
    </w:p>
    <w:p>
      <w:pPr>
        <w:keepNext/>
        <w:keepLines/>
        <w:pageBreakBefore w:val="0"/>
        <w:widowControl w:val="0"/>
        <w:tabs>
          <w:tab w:val="left" w:pos="525"/>
        </w:tabs>
        <w:kinsoku/>
        <w:wordWrap/>
        <w:overflowPunct/>
        <w:topLinePunct w:val="0"/>
        <w:autoSpaceDE/>
        <w:autoSpaceDN/>
        <w:bidi w:val="0"/>
        <w:adjustRightInd w:val="0"/>
        <w:snapToGrid w:val="0"/>
        <w:spacing w:line="360" w:lineRule="auto"/>
        <w:ind w:left="0" w:firstLine="0"/>
        <w:textAlignment w:val="auto"/>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rPr>
          <w:rFonts w:ascii="宋体" w:hAnsi="宋体" w:cs="宋体"/>
          <w:b/>
          <w:bCs/>
          <w:sz w:val="32"/>
          <w:szCs w:val="32"/>
          <w:lang w:val="zh-CN"/>
        </w:rPr>
      </w:pPr>
    </w:p>
    <w:p>
      <w:pPr>
        <w:rPr>
          <w:rFonts w:ascii="宋体" w:hAnsi="宋体" w:cs="宋体"/>
          <w:b/>
          <w:bCs/>
          <w:sz w:val="32"/>
          <w:szCs w:val="32"/>
          <w:lang w:val="zh-CN"/>
        </w:rPr>
      </w:pPr>
    </w:p>
    <w:p>
      <w:pPr>
        <w:rPr>
          <w:rFonts w:hint="eastAsia" w:ascii="宋体" w:hAnsi="宋体" w:cs="宋体"/>
          <w:b/>
          <w:bCs/>
          <w:sz w:val="32"/>
          <w:szCs w:val="32"/>
          <w:lang w:val="zh-CN"/>
        </w:rPr>
      </w:pPr>
      <w:r>
        <w:rPr>
          <w:rFonts w:hint="eastAsia" w:ascii="宋体" w:hAnsi="宋体" w:cs="宋体"/>
          <w:b/>
          <w:bCs/>
          <w:sz w:val="32"/>
          <w:szCs w:val="32"/>
          <w:lang w:val="zh-CN"/>
        </w:rPr>
        <w:br w:type="page"/>
      </w:r>
    </w:p>
    <w:p>
      <w:pPr>
        <w:keepNext/>
        <w:keepLines/>
        <w:tabs>
          <w:tab w:val="left" w:pos="525"/>
        </w:tabs>
        <w:adjustRightInd w:val="0"/>
        <w:snapToGrid w:val="0"/>
        <w:spacing w:line="360" w:lineRule="auto"/>
        <w:ind w:left="527" w:hanging="527"/>
        <w:rPr>
          <w:rFonts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2</w:t>
      </w:r>
      <w:r>
        <w:rPr>
          <w:rFonts w:hint="eastAsia" w:ascii="宋体" w:hAnsi="宋体" w:cs="宋体"/>
          <w:b/>
          <w:bCs/>
          <w:sz w:val="32"/>
          <w:szCs w:val="32"/>
          <w:lang w:val="zh-CN"/>
        </w:rPr>
        <w:t>、</w:t>
      </w:r>
      <w:r>
        <w:rPr>
          <w:rFonts w:hint="eastAsia" w:ascii="宋体" w:hAnsi="宋体" w:cs="宋体"/>
          <w:b/>
          <w:bCs/>
          <w:sz w:val="32"/>
          <w:szCs w:val="32"/>
        </w:rPr>
        <w:t>关于投标人资格的声明函</w:t>
      </w:r>
    </w:p>
    <w:p>
      <w:pPr>
        <w:rPr>
          <w:rFonts w:ascii="宋体" w:hAnsi="宋体" w:cs="宋体"/>
          <w:lang w:val="zh-CN"/>
        </w:rPr>
      </w:pPr>
    </w:p>
    <w:p>
      <w:pPr>
        <w:autoSpaceDE w:val="0"/>
        <w:autoSpaceDN w:val="0"/>
        <w:adjustRightInd w:val="0"/>
        <w:snapToGrid w:val="0"/>
        <w:spacing w:line="288" w:lineRule="auto"/>
        <w:jc w:val="center"/>
        <w:rPr>
          <w:rFonts w:ascii="宋体" w:hAnsi="宋体" w:cs="宋体"/>
          <w:b/>
          <w:bCs/>
          <w:kern w:val="0"/>
          <w:sz w:val="32"/>
          <w:szCs w:val="32"/>
        </w:rPr>
      </w:pPr>
      <w:r>
        <w:rPr>
          <w:rFonts w:hint="eastAsia" w:ascii="宋体" w:hAnsi="宋体" w:cs="宋体"/>
          <w:b/>
          <w:bCs/>
          <w:kern w:val="0"/>
          <w:sz w:val="32"/>
          <w:szCs w:val="32"/>
        </w:rPr>
        <w:t>关于投标人资格的声明函</w:t>
      </w:r>
    </w:p>
    <w:p>
      <w:pPr>
        <w:autoSpaceDE w:val="0"/>
        <w:autoSpaceDN w:val="0"/>
        <w:adjustRightInd w:val="0"/>
        <w:snapToGrid w:val="0"/>
        <w:spacing w:line="408" w:lineRule="auto"/>
        <w:jc w:val="left"/>
        <w:rPr>
          <w:rFonts w:ascii="宋体" w:hAnsi="宋体" w:cs="宋体"/>
          <w:kern w:val="0"/>
          <w:sz w:val="13"/>
          <w:szCs w:val="13"/>
        </w:rPr>
      </w:pP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致采购人：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关于你方单位组织的采购项目“（采购编号：）”，我单位自愿参与本项目投标，同时声明：</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中标人资格。</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（一）具有独立承担民事责任的能力；</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（二）具有良好的商业信誉和健全的财务会计制度；</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（三）具有履行合同所必需的设备和专业技术能力；</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（四）有依法缴纳税收和社会保障资金的良好记录；</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（六）法律、行政法规规定的其他条件。</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单位与本项目其他报价人不存在负责人为同一人的情况，也不存在直接控股、管理的关系，我单位承诺不携同存在上述关系的其他单位共同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（一）提供虚假材料谋取中标、成交的；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（二）采取不正当手段诋毁、排挤其他供应商的；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（三）与采购人或其他供应商恶意串通的；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（四）向采购人行贿或者提供其他不正当利益的；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（五）在招标采购过程中与采购人进行协商谈判的；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（六）拒绝有关部门监督检查或者提供虚假情况的。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特此声明！</w:t>
      </w:r>
    </w:p>
    <w:p>
      <w:pPr>
        <w:widowControl/>
        <w:jc w:val="left"/>
        <w:rPr>
          <w:rFonts w:ascii="宋体" w:hAnsi="宋体" w:cs="宋体"/>
          <w:sz w:val="15"/>
          <w:szCs w:val="15"/>
        </w:rPr>
      </w:pPr>
    </w:p>
    <w:p>
      <w:pPr>
        <w:autoSpaceDE w:val="0"/>
        <w:autoSpaceDN w:val="0"/>
        <w:adjustRightInd w:val="0"/>
        <w:snapToGrid w:val="0"/>
        <w:spacing w:line="360" w:lineRule="auto"/>
        <w:ind w:firstLine="4678" w:firstLineChars="2228"/>
        <w:jc w:val="left"/>
        <w:rPr>
          <w:rFonts w:ascii="宋体" w:hAnsi="宋体" w:cs="宋体"/>
          <w:kern w:val="0"/>
          <w:szCs w:val="21"/>
        </w:rPr>
      </w:pPr>
    </w:p>
    <w:p>
      <w:pPr>
        <w:autoSpaceDE w:val="0"/>
        <w:autoSpaceDN w:val="0"/>
        <w:adjustRightInd w:val="0"/>
        <w:snapToGrid w:val="0"/>
        <w:spacing w:line="360" w:lineRule="auto"/>
        <w:ind w:firstLine="4678" w:firstLineChars="2228"/>
        <w:jc w:val="left"/>
        <w:rPr>
          <w:rFonts w:ascii="宋体" w:hAnsi="宋体" w:cs="宋体"/>
          <w:kern w:val="0"/>
          <w:szCs w:val="21"/>
        </w:rPr>
      </w:pPr>
    </w:p>
    <w:p>
      <w:pPr>
        <w:autoSpaceDE w:val="0"/>
        <w:autoSpaceDN w:val="0"/>
        <w:adjustRightInd w:val="0"/>
        <w:snapToGrid w:val="0"/>
        <w:spacing w:line="360" w:lineRule="auto"/>
        <w:ind w:firstLine="4678" w:firstLineChars="2228"/>
        <w:jc w:val="left"/>
        <w:rPr>
          <w:rFonts w:ascii="宋体" w:hAnsi="宋体" w:cs="宋体"/>
          <w:kern w:val="0"/>
          <w:szCs w:val="21"/>
        </w:rPr>
      </w:pPr>
    </w:p>
    <w:p>
      <w:pPr>
        <w:autoSpaceDE w:val="0"/>
        <w:autoSpaceDN w:val="0"/>
        <w:adjustRightInd w:val="0"/>
        <w:snapToGrid w:val="0"/>
        <w:spacing w:line="360" w:lineRule="auto"/>
        <w:ind w:firstLine="4678" w:firstLineChars="2228"/>
        <w:jc w:val="left"/>
        <w:rPr>
          <w:rFonts w:ascii="宋体" w:hAnsi="宋体" w:cs="宋体"/>
          <w:kern w:val="0"/>
          <w:szCs w:val="21"/>
        </w:rPr>
      </w:pPr>
      <w:r>
        <w:rPr>
          <w:rFonts w:hint="eastAsia" w:ascii="宋体" w:hAnsi="宋体" w:cs="宋体"/>
          <w:kern w:val="0"/>
          <w:szCs w:val="21"/>
        </w:rPr>
        <w:t>报价人（投标人公章）：</w:t>
      </w:r>
    </w:p>
    <w:p>
      <w:pPr>
        <w:autoSpaceDE w:val="0"/>
        <w:autoSpaceDN w:val="0"/>
        <w:adjustRightInd w:val="0"/>
        <w:snapToGrid w:val="0"/>
        <w:spacing w:line="360" w:lineRule="auto"/>
        <w:ind w:firstLine="4678" w:firstLineChars="2228"/>
        <w:jc w:val="left"/>
        <w:rPr>
          <w:rFonts w:ascii="宋体" w:hAnsi="宋体" w:cs="宋体"/>
          <w:kern w:val="0"/>
          <w:szCs w:val="21"/>
        </w:rPr>
      </w:pPr>
      <w:r>
        <w:rPr>
          <w:rFonts w:hint="eastAsia" w:ascii="宋体" w:hAnsi="宋体" w:cs="宋体"/>
          <w:kern w:val="0"/>
          <w:szCs w:val="21"/>
        </w:rPr>
        <w:t>法定代表人或授权代表（签字）：</w:t>
      </w:r>
    </w:p>
    <w:p>
      <w:pPr>
        <w:spacing w:line="360" w:lineRule="exact"/>
        <w:jc w:val="center"/>
        <w:rPr>
          <w:rFonts w:ascii="宋体" w:hAnsi="宋体"/>
          <w:b/>
          <w:kern w:val="28"/>
          <w:sz w:val="36"/>
          <w:szCs w:val="36"/>
        </w:rPr>
      </w:pPr>
      <w:r>
        <w:rPr>
          <w:rFonts w:hint="eastAsia" w:ascii="宋体" w:hAnsi="宋体" w:cs="宋体"/>
          <w:kern w:val="0"/>
          <w:szCs w:val="21"/>
        </w:rPr>
        <w:t xml:space="preserve">                          日　期：      年    月    日</w:t>
      </w:r>
    </w:p>
    <w:p>
      <w:pPr>
        <w:spacing w:line="360" w:lineRule="exact"/>
        <w:jc w:val="center"/>
        <w:rPr>
          <w:rFonts w:ascii="宋体" w:hAnsi="宋体"/>
          <w:b/>
          <w:kern w:val="28"/>
          <w:sz w:val="36"/>
          <w:szCs w:val="36"/>
        </w:rPr>
      </w:pPr>
    </w:p>
    <w:sectPr>
      <w:footerReference r:id="rId3" w:type="default"/>
      <w:footerReference r:id="rId4" w:type="even"/>
      <w:pgSz w:w="11920" w:h="16840"/>
      <w:pgMar w:top="851" w:right="1191" w:bottom="851" w:left="1191" w:header="737" w:footer="7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9</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6</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0E836"/>
    <w:multiLevelType w:val="multilevel"/>
    <w:tmpl w:val="0EC0E836"/>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87A48C1"/>
    <w:multiLevelType w:val="multilevel"/>
    <w:tmpl w:val="187A48C1"/>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A80592C"/>
    <w:multiLevelType w:val="singleLevel"/>
    <w:tmpl w:val="1A80592C"/>
    <w:lvl w:ilvl="0" w:tentative="0">
      <w:start w:val="1"/>
      <w:numFmt w:val="decimal"/>
      <w:suff w:val="nothing"/>
      <w:lvlText w:val="%1．"/>
      <w:lvlJc w:val="left"/>
      <w:pPr>
        <w:ind w:left="0" w:firstLine="400"/>
      </w:pPr>
      <w:rPr>
        <w:rFonts w:hint="default"/>
      </w:rPr>
    </w:lvl>
  </w:abstractNum>
  <w:abstractNum w:abstractNumId="3">
    <w:nsid w:val="7294F837"/>
    <w:multiLevelType w:val="singleLevel"/>
    <w:tmpl w:val="7294F837"/>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ZTdhODljZGMwNDcwN2UwODgzOTQyMmUwZmFhMGMifQ=="/>
  </w:docVars>
  <w:rsids>
    <w:rsidRoot w:val="00D1402F"/>
    <w:rsid w:val="00002084"/>
    <w:rsid w:val="000028DB"/>
    <w:rsid w:val="00004582"/>
    <w:rsid w:val="00004BB1"/>
    <w:rsid w:val="00004D03"/>
    <w:rsid w:val="00005DCA"/>
    <w:rsid w:val="00017221"/>
    <w:rsid w:val="00020FAC"/>
    <w:rsid w:val="000214AB"/>
    <w:rsid w:val="00025036"/>
    <w:rsid w:val="00032633"/>
    <w:rsid w:val="0004340F"/>
    <w:rsid w:val="000515D2"/>
    <w:rsid w:val="00051890"/>
    <w:rsid w:val="00057CAE"/>
    <w:rsid w:val="0006345D"/>
    <w:rsid w:val="00063831"/>
    <w:rsid w:val="00065338"/>
    <w:rsid w:val="00065E02"/>
    <w:rsid w:val="0007383C"/>
    <w:rsid w:val="0008150C"/>
    <w:rsid w:val="00085C66"/>
    <w:rsid w:val="00090992"/>
    <w:rsid w:val="00091B6F"/>
    <w:rsid w:val="00095769"/>
    <w:rsid w:val="0009608A"/>
    <w:rsid w:val="000B31BB"/>
    <w:rsid w:val="000C3368"/>
    <w:rsid w:val="000C710A"/>
    <w:rsid w:val="000D6FAA"/>
    <w:rsid w:val="000E1B09"/>
    <w:rsid w:val="000E2102"/>
    <w:rsid w:val="000E5056"/>
    <w:rsid w:val="000E73FE"/>
    <w:rsid w:val="000F0819"/>
    <w:rsid w:val="000F72C1"/>
    <w:rsid w:val="00127A3F"/>
    <w:rsid w:val="00134112"/>
    <w:rsid w:val="00141D8D"/>
    <w:rsid w:val="00141E27"/>
    <w:rsid w:val="00151399"/>
    <w:rsid w:val="00156536"/>
    <w:rsid w:val="00161866"/>
    <w:rsid w:val="00161872"/>
    <w:rsid w:val="00162C0A"/>
    <w:rsid w:val="001807AA"/>
    <w:rsid w:val="00182077"/>
    <w:rsid w:val="001840E4"/>
    <w:rsid w:val="00195718"/>
    <w:rsid w:val="00195FC9"/>
    <w:rsid w:val="001975E9"/>
    <w:rsid w:val="001A0CF5"/>
    <w:rsid w:val="001A1B99"/>
    <w:rsid w:val="001A2A72"/>
    <w:rsid w:val="001A4111"/>
    <w:rsid w:val="001B2BDB"/>
    <w:rsid w:val="001B5DCF"/>
    <w:rsid w:val="001C071E"/>
    <w:rsid w:val="001C191C"/>
    <w:rsid w:val="001C2847"/>
    <w:rsid w:val="001D2322"/>
    <w:rsid w:val="001D77D6"/>
    <w:rsid w:val="001E509F"/>
    <w:rsid w:val="001E589F"/>
    <w:rsid w:val="001E5D55"/>
    <w:rsid w:val="00200BB6"/>
    <w:rsid w:val="00201A00"/>
    <w:rsid w:val="00215045"/>
    <w:rsid w:val="00223D28"/>
    <w:rsid w:val="002256E0"/>
    <w:rsid w:val="00225FBC"/>
    <w:rsid w:val="00227DE4"/>
    <w:rsid w:val="002405AD"/>
    <w:rsid w:val="0024522C"/>
    <w:rsid w:val="0025310E"/>
    <w:rsid w:val="0025323C"/>
    <w:rsid w:val="00256D44"/>
    <w:rsid w:val="00257D4C"/>
    <w:rsid w:val="00271952"/>
    <w:rsid w:val="002765FA"/>
    <w:rsid w:val="00280056"/>
    <w:rsid w:val="0028237F"/>
    <w:rsid w:val="0029138F"/>
    <w:rsid w:val="0029406C"/>
    <w:rsid w:val="002A280B"/>
    <w:rsid w:val="002A446A"/>
    <w:rsid w:val="002A51CA"/>
    <w:rsid w:val="002A6C79"/>
    <w:rsid w:val="002A7699"/>
    <w:rsid w:val="002B009C"/>
    <w:rsid w:val="002B017B"/>
    <w:rsid w:val="002B5AB7"/>
    <w:rsid w:val="002B5CED"/>
    <w:rsid w:val="002B6660"/>
    <w:rsid w:val="002C1D2A"/>
    <w:rsid w:val="002C248C"/>
    <w:rsid w:val="002C46C2"/>
    <w:rsid w:val="002C605D"/>
    <w:rsid w:val="002D3D2A"/>
    <w:rsid w:val="002E0037"/>
    <w:rsid w:val="002E6258"/>
    <w:rsid w:val="002F0751"/>
    <w:rsid w:val="002F15C1"/>
    <w:rsid w:val="002F432E"/>
    <w:rsid w:val="002F5C9F"/>
    <w:rsid w:val="002F7517"/>
    <w:rsid w:val="003025F2"/>
    <w:rsid w:val="00302B6D"/>
    <w:rsid w:val="00305C8B"/>
    <w:rsid w:val="00311AEA"/>
    <w:rsid w:val="003151C4"/>
    <w:rsid w:val="00321760"/>
    <w:rsid w:val="0032395B"/>
    <w:rsid w:val="003408FE"/>
    <w:rsid w:val="00341798"/>
    <w:rsid w:val="00342634"/>
    <w:rsid w:val="00353327"/>
    <w:rsid w:val="003577DA"/>
    <w:rsid w:val="0037160C"/>
    <w:rsid w:val="00375127"/>
    <w:rsid w:val="00381A65"/>
    <w:rsid w:val="00385F9D"/>
    <w:rsid w:val="00390E91"/>
    <w:rsid w:val="003931AE"/>
    <w:rsid w:val="003A2290"/>
    <w:rsid w:val="003A2383"/>
    <w:rsid w:val="003A2E99"/>
    <w:rsid w:val="003A3172"/>
    <w:rsid w:val="003A6340"/>
    <w:rsid w:val="003C4B10"/>
    <w:rsid w:val="003C6C60"/>
    <w:rsid w:val="003E21B4"/>
    <w:rsid w:val="003E6117"/>
    <w:rsid w:val="003F72FC"/>
    <w:rsid w:val="003F78FE"/>
    <w:rsid w:val="0040082A"/>
    <w:rsid w:val="004032D9"/>
    <w:rsid w:val="004036AF"/>
    <w:rsid w:val="00404302"/>
    <w:rsid w:val="00404838"/>
    <w:rsid w:val="00404BE6"/>
    <w:rsid w:val="00411A17"/>
    <w:rsid w:val="00412970"/>
    <w:rsid w:val="00420732"/>
    <w:rsid w:val="0042377E"/>
    <w:rsid w:val="00426729"/>
    <w:rsid w:val="004341BA"/>
    <w:rsid w:val="00441205"/>
    <w:rsid w:val="004420C7"/>
    <w:rsid w:val="004426E1"/>
    <w:rsid w:val="00450E4D"/>
    <w:rsid w:val="00455667"/>
    <w:rsid w:val="00456C2D"/>
    <w:rsid w:val="0046305F"/>
    <w:rsid w:val="00464E6A"/>
    <w:rsid w:val="004674AE"/>
    <w:rsid w:val="004734EF"/>
    <w:rsid w:val="004778C0"/>
    <w:rsid w:val="004820FD"/>
    <w:rsid w:val="00484572"/>
    <w:rsid w:val="004868B3"/>
    <w:rsid w:val="00491040"/>
    <w:rsid w:val="0049272B"/>
    <w:rsid w:val="00492D2A"/>
    <w:rsid w:val="00495DF6"/>
    <w:rsid w:val="004B3BA6"/>
    <w:rsid w:val="004B47F0"/>
    <w:rsid w:val="004B72E2"/>
    <w:rsid w:val="004C04DD"/>
    <w:rsid w:val="004C642D"/>
    <w:rsid w:val="004D28FE"/>
    <w:rsid w:val="004D2908"/>
    <w:rsid w:val="004D5677"/>
    <w:rsid w:val="004E2F3B"/>
    <w:rsid w:val="004E4869"/>
    <w:rsid w:val="004E7CA4"/>
    <w:rsid w:val="004F0F99"/>
    <w:rsid w:val="004F12D8"/>
    <w:rsid w:val="004F459E"/>
    <w:rsid w:val="004F6A19"/>
    <w:rsid w:val="004F6CD2"/>
    <w:rsid w:val="00505DCA"/>
    <w:rsid w:val="0050795E"/>
    <w:rsid w:val="00510EC8"/>
    <w:rsid w:val="00513E0D"/>
    <w:rsid w:val="00516FC5"/>
    <w:rsid w:val="005300E6"/>
    <w:rsid w:val="00531736"/>
    <w:rsid w:val="0053528A"/>
    <w:rsid w:val="00550524"/>
    <w:rsid w:val="00552129"/>
    <w:rsid w:val="00556E1B"/>
    <w:rsid w:val="005606D5"/>
    <w:rsid w:val="005631F7"/>
    <w:rsid w:val="00580CEF"/>
    <w:rsid w:val="00582CCC"/>
    <w:rsid w:val="005830FD"/>
    <w:rsid w:val="00594918"/>
    <w:rsid w:val="005A1C0F"/>
    <w:rsid w:val="005A2DF9"/>
    <w:rsid w:val="005A36BA"/>
    <w:rsid w:val="005A588C"/>
    <w:rsid w:val="005A6A8D"/>
    <w:rsid w:val="005B2302"/>
    <w:rsid w:val="005B4DAB"/>
    <w:rsid w:val="005C11B5"/>
    <w:rsid w:val="005C2655"/>
    <w:rsid w:val="005C33D9"/>
    <w:rsid w:val="005C3C62"/>
    <w:rsid w:val="005C5144"/>
    <w:rsid w:val="005C7808"/>
    <w:rsid w:val="005D00E0"/>
    <w:rsid w:val="005D60D2"/>
    <w:rsid w:val="005D6B8B"/>
    <w:rsid w:val="005E147B"/>
    <w:rsid w:val="005E32F3"/>
    <w:rsid w:val="005E433F"/>
    <w:rsid w:val="005E6694"/>
    <w:rsid w:val="005F02A6"/>
    <w:rsid w:val="005F1C7F"/>
    <w:rsid w:val="0061330B"/>
    <w:rsid w:val="0061356D"/>
    <w:rsid w:val="006178EC"/>
    <w:rsid w:val="00620275"/>
    <w:rsid w:val="00632D7C"/>
    <w:rsid w:val="00633DB3"/>
    <w:rsid w:val="006558F1"/>
    <w:rsid w:val="00657920"/>
    <w:rsid w:val="0066434D"/>
    <w:rsid w:val="00666890"/>
    <w:rsid w:val="0067687A"/>
    <w:rsid w:val="006823CC"/>
    <w:rsid w:val="00690E68"/>
    <w:rsid w:val="006A26B4"/>
    <w:rsid w:val="006A3169"/>
    <w:rsid w:val="006A63BA"/>
    <w:rsid w:val="006B238F"/>
    <w:rsid w:val="006B5D02"/>
    <w:rsid w:val="006B63D9"/>
    <w:rsid w:val="006C237F"/>
    <w:rsid w:val="006C5473"/>
    <w:rsid w:val="006C5989"/>
    <w:rsid w:val="006D4446"/>
    <w:rsid w:val="006E3198"/>
    <w:rsid w:val="00701AAF"/>
    <w:rsid w:val="00703D3A"/>
    <w:rsid w:val="007107BA"/>
    <w:rsid w:val="00725D67"/>
    <w:rsid w:val="00726651"/>
    <w:rsid w:val="00730D8E"/>
    <w:rsid w:val="00731875"/>
    <w:rsid w:val="00732592"/>
    <w:rsid w:val="0073262F"/>
    <w:rsid w:val="007328A4"/>
    <w:rsid w:val="00735BEA"/>
    <w:rsid w:val="007406F2"/>
    <w:rsid w:val="0074377C"/>
    <w:rsid w:val="00747D39"/>
    <w:rsid w:val="00750708"/>
    <w:rsid w:val="00757042"/>
    <w:rsid w:val="007635D5"/>
    <w:rsid w:val="00767FB4"/>
    <w:rsid w:val="00783237"/>
    <w:rsid w:val="007833DC"/>
    <w:rsid w:val="00796326"/>
    <w:rsid w:val="00796368"/>
    <w:rsid w:val="007966E7"/>
    <w:rsid w:val="007A61A7"/>
    <w:rsid w:val="007A7341"/>
    <w:rsid w:val="007A7817"/>
    <w:rsid w:val="007B129E"/>
    <w:rsid w:val="007B30F8"/>
    <w:rsid w:val="007C2A40"/>
    <w:rsid w:val="007D765E"/>
    <w:rsid w:val="007E1AE3"/>
    <w:rsid w:val="007E35F1"/>
    <w:rsid w:val="007E703C"/>
    <w:rsid w:val="007F2731"/>
    <w:rsid w:val="007F3B92"/>
    <w:rsid w:val="007F5E58"/>
    <w:rsid w:val="00800746"/>
    <w:rsid w:val="00803019"/>
    <w:rsid w:val="008034FF"/>
    <w:rsid w:val="00803AE2"/>
    <w:rsid w:val="00803CEA"/>
    <w:rsid w:val="00806395"/>
    <w:rsid w:val="00812204"/>
    <w:rsid w:val="008132D6"/>
    <w:rsid w:val="008211E9"/>
    <w:rsid w:val="008218DF"/>
    <w:rsid w:val="008312F6"/>
    <w:rsid w:val="00833C1E"/>
    <w:rsid w:val="00856142"/>
    <w:rsid w:val="00861652"/>
    <w:rsid w:val="00870DC3"/>
    <w:rsid w:val="00882055"/>
    <w:rsid w:val="00884A9C"/>
    <w:rsid w:val="008869A0"/>
    <w:rsid w:val="008A0187"/>
    <w:rsid w:val="008A33C3"/>
    <w:rsid w:val="008A37DD"/>
    <w:rsid w:val="008A7A4A"/>
    <w:rsid w:val="008B0A34"/>
    <w:rsid w:val="008B45AA"/>
    <w:rsid w:val="008B53D2"/>
    <w:rsid w:val="008C1F78"/>
    <w:rsid w:val="008C39C3"/>
    <w:rsid w:val="008D3657"/>
    <w:rsid w:val="008D508A"/>
    <w:rsid w:val="008D619A"/>
    <w:rsid w:val="008D6FE4"/>
    <w:rsid w:val="008E690F"/>
    <w:rsid w:val="008F30F3"/>
    <w:rsid w:val="008F3913"/>
    <w:rsid w:val="008F50FF"/>
    <w:rsid w:val="0090019F"/>
    <w:rsid w:val="00907C44"/>
    <w:rsid w:val="00912130"/>
    <w:rsid w:val="0091380D"/>
    <w:rsid w:val="00914AAB"/>
    <w:rsid w:val="0091766C"/>
    <w:rsid w:val="00917961"/>
    <w:rsid w:val="0092280C"/>
    <w:rsid w:val="00925B79"/>
    <w:rsid w:val="00935A01"/>
    <w:rsid w:val="009365EE"/>
    <w:rsid w:val="00937589"/>
    <w:rsid w:val="00937A6C"/>
    <w:rsid w:val="00940CA2"/>
    <w:rsid w:val="00942366"/>
    <w:rsid w:val="009428FA"/>
    <w:rsid w:val="00944661"/>
    <w:rsid w:val="009446B2"/>
    <w:rsid w:val="00956368"/>
    <w:rsid w:val="00956581"/>
    <w:rsid w:val="00957AE0"/>
    <w:rsid w:val="00963559"/>
    <w:rsid w:val="00974789"/>
    <w:rsid w:val="00974E76"/>
    <w:rsid w:val="009824CF"/>
    <w:rsid w:val="00984BE6"/>
    <w:rsid w:val="00986FC2"/>
    <w:rsid w:val="009931CE"/>
    <w:rsid w:val="00995B6F"/>
    <w:rsid w:val="009B3267"/>
    <w:rsid w:val="009C3E33"/>
    <w:rsid w:val="009C5FF3"/>
    <w:rsid w:val="009C7A9C"/>
    <w:rsid w:val="009D7ECE"/>
    <w:rsid w:val="009F11F3"/>
    <w:rsid w:val="009F4E1E"/>
    <w:rsid w:val="009F5798"/>
    <w:rsid w:val="009F62E8"/>
    <w:rsid w:val="009F66DE"/>
    <w:rsid w:val="00A04011"/>
    <w:rsid w:val="00A07571"/>
    <w:rsid w:val="00A12AE0"/>
    <w:rsid w:val="00A133AA"/>
    <w:rsid w:val="00A14274"/>
    <w:rsid w:val="00A22D04"/>
    <w:rsid w:val="00A268BB"/>
    <w:rsid w:val="00A27802"/>
    <w:rsid w:val="00A3091D"/>
    <w:rsid w:val="00A36E6D"/>
    <w:rsid w:val="00A37A52"/>
    <w:rsid w:val="00A519C5"/>
    <w:rsid w:val="00A6164D"/>
    <w:rsid w:val="00A63A19"/>
    <w:rsid w:val="00A70C45"/>
    <w:rsid w:val="00A855AA"/>
    <w:rsid w:val="00A94BAD"/>
    <w:rsid w:val="00A95E02"/>
    <w:rsid w:val="00AA52C5"/>
    <w:rsid w:val="00AB0B2E"/>
    <w:rsid w:val="00AB480C"/>
    <w:rsid w:val="00AB4EEF"/>
    <w:rsid w:val="00AB611B"/>
    <w:rsid w:val="00AC2DAA"/>
    <w:rsid w:val="00AD2E1A"/>
    <w:rsid w:val="00AD4A1A"/>
    <w:rsid w:val="00AE1928"/>
    <w:rsid w:val="00AE1A6C"/>
    <w:rsid w:val="00AE3564"/>
    <w:rsid w:val="00AE6E8C"/>
    <w:rsid w:val="00AF73D8"/>
    <w:rsid w:val="00B04D5A"/>
    <w:rsid w:val="00B04DAB"/>
    <w:rsid w:val="00B0658B"/>
    <w:rsid w:val="00B10D83"/>
    <w:rsid w:val="00B10EB9"/>
    <w:rsid w:val="00B141C7"/>
    <w:rsid w:val="00B16955"/>
    <w:rsid w:val="00B23788"/>
    <w:rsid w:val="00B31DD7"/>
    <w:rsid w:val="00B368E8"/>
    <w:rsid w:val="00B404CB"/>
    <w:rsid w:val="00B433A5"/>
    <w:rsid w:val="00B47508"/>
    <w:rsid w:val="00B52A33"/>
    <w:rsid w:val="00B643F2"/>
    <w:rsid w:val="00B7609F"/>
    <w:rsid w:val="00B81537"/>
    <w:rsid w:val="00B87710"/>
    <w:rsid w:val="00BA21E2"/>
    <w:rsid w:val="00BA339A"/>
    <w:rsid w:val="00BB2FD0"/>
    <w:rsid w:val="00BB4003"/>
    <w:rsid w:val="00BC3F82"/>
    <w:rsid w:val="00BC50C0"/>
    <w:rsid w:val="00BC7D02"/>
    <w:rsid w:val="00BD76CA"/>
    <w:rsid w:val="00BE25F6"/>
    <w:rsid w:val="00BE2A11"/>
    <w:rsid w:val="00BE2D33"/>
    <w:rsid w:val="00BE6FDF"/>
    <w:rsid w:val="00BE71E0"/>
    <w:rsid w:val="00BF18D9"/>
    <w:rsid w:val="00BF7025"/>
    <w:rsid w:val="00C01D23"/>
    <w:rsid w:val="00C06329"/>
    <w:rsid w:val="00C10D6B"/>
    <w:rsid w:val="00C1694B"/>
    <w:rsid w:val="00C23526"/>
    <w:rsid w:val="00C323E5"/>
    <w:rsid w:val="00C33BF3"/>
    <w:rsid w:val="00C346D5"/>
    <w:rsid w:val="00C34B0F"/>
    <w:rsid w:val="00C34E07"/>
    <w:rsid w:val="00C40298"/>
    <w:rsid w:val="00C53939"/>
    <w:rsid w:val="00C543BB"/>
    <w:rsid w:val="00C5441E"/>
    <w:rsid w:val="00C57D9F"/>
    <w:rsid w:val="00C72A75"/>
    <w:rsid w:val="00C77200"/>
    <w:rsid w:val="00C77DC6"/>
    <w:rsid w:val="00C8025C"/>
    <w:rsid w:val="00C855D3"/>
    <w:rsid w:val="00C8641A"/>
    <w:rsid w:val="00C9522F"/>
    <w:rsid w:val="00C95DE2"/>
    <w:rsid w:val="00C960D2"/>
    <w:rsid w:val="00CC03D8"/>
    <w:rsid w:val="00CC3A9A"/>
    <w:rsid w:val="00CC55CF"/>
    <w:rsid w:val="00CD0457"/>
    <w:rsid w:val="00CD0CBF"/>
    <w:rsid w:val="00CD221C"/>
    <w:rsid w:val="00CD3D26"/>
    <w:rsid w:val="00CD6A88"/>
    <w:rsid w:val="00CD794B"/>
    <w:rsid w:val="00CF02E8"/>
    <w:rsid w:val="00CF103B"/>
    <w:rsid w:val="00CF14AB"/>
    <w:rsid w:val="00CF26C8"/>
    <w:rsid w:val="00CF2F02"/>
    <w:rsid w:val="00CF3E41"/>
    <w:rsid w:val="00D0041A"/>
    <w:rsid w:val="00D1402F"/>
    <w:rsid w:val="00D15D61"/>
    <w:rsid w:val="00D15ED3"/>
    <w:rsid w:val="00D32502"/>
    <w:rsid w:val="00D40E11"/>
    <w:rsid w:val="00D42837"/>
    <w:rsid w:val="00D43A62"/>
    <w:rsid w:val="00D45281"/>
    <w:rsid w:val="00D453AA"/>
    <w:rsid w:val="00D45B50"/>
    <w:rsid w:val="00D46FD6"/>
    <w:rsid w:val="00D51C0D"/>
    <w:rsid w:val="00D63C5D"/>
    <w:rsid w:val="00D652A2"/>
    <w:rsid w:val="00D662B8"/>
    <w:rsid w:val="00D83D59"/>
    <w:rsid w:val="00D90CE3"/>
    <w:rsid w:val="00D920DD"/>
    <w:rsid w:val="00D9213F"/>
    <w:rsid w:val="00D97F24"/>
    <w:rsid w:val="00DA0B36"/>
    <w:rsid w:val="00DB09C5"/>
    <w:rsid w:val="00DB2380"/>
    <w:rsid w:val="00DC3E4E"/>
    <w:rsid w:val="00DD224D"/>
    <w:rsid w:val="00DD584A"/>
    <w:rsid w:val="00DF54AB"/>
    <w:rsid w:val="00DF5DDB"/>
    <w:rsid w:val="00E015B5"/>
    <w:rsid w:val="00E01DEF"/>
    <w:rsid w:val="00E15652"/>
    <w:rsid w:val="00E17A49"/>
    <w:rsid w:val="00E22198"/>
    <w:rsid w:val="00E23412"/>
    <w:rsid w:val="00E24015"/>
    <w:rsid w:val="00E24810"/>
    <w:rsid w:val="00E27274"/>
    <w:rsid w:val="00E3023F"/>
    <w:rsid w:val="00E305E4"/>
    <w:rsid w:val="00E31BC5"/>
    <w:rsid w:val="00E336D3"/>
    <w:rsid w:val="00E339DE"/>
    <w:rsid w:val="00E352E4"/>
    <w:rsid w:val="00E37591"/>
    <w:rsid w:val="00E503F8"/>
    <w:rsid w:val="00E52C2A"/>
    <w:rsid w:val="00E668DF"/>
    <w:rsid w:val="00E669B0"/>
    <w:rsid w:val="00E701E3"/>
    <w:rsid w:val="00E828DB"/>
    <w:rsid w:val="00E84F84"/>
    <w:rsid w:val="00E850CD"/>
    <w:rsid w:val="00E854ED"/>
    <w:rsid w:val="00E90570"/>
    <w:rsid w:val="00E934ED"/>
    <w:rsid w:val="00E945DA"/>
    <w:rsid w:val="00EA2D54"/>
    <w:rsid w:val="00EA4B0F"/>
    <w:rsid w:val="00EB1669"/>
    <w:rsid w:val="00EB54C2"/>
    <w:rsid w:val="00EC05F4"/>
    <w:rsid w:val="00EC4229"/>
    <w:rsid w:val="00EC7FB3"/>
    <w:rsid w:val="00ED13A8"/>
    <w:rsid w:val="00ED1F63"/>
    <w:rsid w:val="00ED3A57"/>
    <w:rsid w:val="00ED7506"/>
    <w:rsid w:val="00EE0BB5"/>
    <w:rsid w:val="00EE0BF7"/>
    <w:rsid w:val="00EF0AF9"/>
    <w:rsid w:val="00EF6086"/>
    <w:rsid w:val="00EF6A2F"/>
    <w:rsid w:val="00EF7061"/>
    <w:rsid w:val="00F033A1"/>
    <w:rsid w:val="00F066F1"/>
    <w:rsid w:val="00F2207A"/>
    <w:rsid w:val="00F265BE"/>
    <w:rsid w:val="00F33D28"/>
    <w:rsid w:val="00F35D43"/>
    <w:rsid w:val="00F3619F"/>
    <w:rsid w:val="00F4154D"/>
    <w:rsid w:val="00F433C4"/>
    <w:rsid w:val="00F5226F"/>
    <w:rsid w:val="00F52A64"/>
    <w:rsid w:val="00F56CE8"/>
    <w:rsid w:val="00F57447"/>
    <w:rsid w:val="00F61488"/>
    <w:rsid w:val="00F627A6"/>
    <w:rsid w:val="00F62A21"/>
    <w:rsid w:val="00F636C6"/>
    <w:rsid w:val="00F7476C"/>
    <w:rsid w:val="00F77625"/>
    <w:rsid w:val="00F808B0"/>
    <w:rsid w:val="00F84B68"/>
    <w:rsid w:val="00F9076C"/>
    <w:rsid w:val="00F922E5"/>
    <w:rsid w:val="00F92678"/>
    <w:rsid w:val="00F957F2"/>
    <w:rsid w:val="00FA023E"/>
    <w:rsid w:val="00FA04D6"/>
    <w:rsid w:val="00FA624C"/>
    <w:rsid w:val="00FB2038"/>
    <w:rsid w:val="00FC3C5E"/>
    <w:rsid w:val="00FD1CD3"/>
    <w:rsid w:val="00FD751B"/>
    <w:rsid w:val="00FE7F0C"/>
    <w:rsid w:val="00FF0B9B"/>
    <w:rsid w:val="00FF541C"/>
    <w:rsid w:val="00FF6D7A"/>
    <w:rsid w:val="00FF7D62"/>
    <w:rsid w:val="015F51BB"/>
    <w:rsid w:val="02211C3D"/>
    <w:rsid w:val="02A46519"/>
    <w:rsid w:val="03033289"/>
    <w:rsid w:val="03086EB8"/>
    <w:rsid w:val="03647597"/>
    <w:rsid w:val="03A312E7"/>
    <w:rsid w:val="03BC3669"/>
    <w:rsid w:val="03D667B3"/>
    <w:rsid w:val="04D07A99"/>
    <w:rsid w:val="0534797C"/>
    <w:rsid w:val="05574637"/>
    <w:rsid w:val="05733415"/>
    <w:rsid w:val="057B2EEF"/>
    <w:rsid w:val="05BB3D6D"/>
    <w:rsid w:val="05CF36B3"/>
    <w:rsid w:val="06D94A85"/>
    <w:rsid w:val="07546D26"/>
    <w:rsid w:val="078446F1"/>
    <w:rsid w:val="07FE2B6F"/>
    <w:rsid w:val="082D6A3D"/>
    <w:rsid w:val="08BA6A96"/>
    <w:rsid w:val="0B000959"/>
    <w:rsid w:val="0B4379B7"/>
    <w:rsid w:val="0B4C26C6"/>
    <w:rsid w:val="0C5D45EA"/>
    <w:rsid w:val="0D2027F3"/>
    <w:rsid w:val="0E29316F"/>
    <w:rsid w:val="0E4D65AA"/>
    <w:rsid w:val="0ED130C1"/>
    <w:rsid w:val="0FB045CC"/>
    <w:rsid w:val="13F029FC"/>
    <w:rsid w:val="156F0BC5"/>
    <w:rsid w:val="158C7B2F"/>
    <w:rsid w:val="17075360"/>
    <w:rsid w:val="178939B5"/>
    <w:rsid w:val="17F11DA8"/>
    <w:rsid w:val="19E720B1"/>
    <w:rsid w:val="1B261C7D"/>
    <w:rsid w:val="1B410951"/>
    <w:rsid w:val="1B9D7C6F"/>
    <w:rsid w:val="1BB457DD"/>
    <w:rsid w:val="1BCE6F65"/>
    <w:rsid w:val="1BE13EE2"/>
    <w:rsid w:val="1CAC44F0"/>
    <w:rsid w:val="1D9877E8"/>
    <w:rsid w:val="1EC434CF"/>
    <w:rsid w:val="200942ED"/>
    <w:rsid w:val="2216164A"/>
    <w:rsid w:val="22410BF7"/>
    <w:rsid w:val="22D96EB9"/>
    <w:rsid w:val="22DF26DC"/>
    <w:rsid w:val="22F2095E"/>
    <w:rsid w:val="233200D8"/>
    <w:rsid w:val="23A44173"/>
    <w:rsid w:val="23A54519"/>
    <w:rsid w:val="241F3946"/>
    <w:rsid w:val="25756B83"/>
    <w:rsid w:val="25FF6ED9"/>
    <w:rsid w:val="266D5534"/>
    <w:rsid w:val="26861188"/>
    <w:rsid w:val="2701241E"/>
    <w:rsid w:val="27613771"/>
    <w:rsid w:val="28441A80"/>
    <w:rsid w:val="28A245A9"/>
    <w:rsid w:val="28AD0103"/>
    <w:rsid w:val="293B10D5"/>
    <w:rsid w:val="29B45D46"/>
    <w:rsid w:val="2B0A187A"/>
    <w:rsid w:val="2B781128"/>
    <w:rsid w:val="2B980F11"/>
    <w:rsid w:val="2BAE2C44"/>
    <w:rsid w:val="2BD35494"/>
    <w:rsid w:val="2BE97476"/>
    <w:rsid w:val="2C2A0110"/>
    <w:rsid w:val="2E3721B6"/>
    <w:rsid w:val="2E68598C"/>
    <w:rsid w:val="30095D10"/>
    <w:rsid w:val="3034062C"/>
    <w:rsid w:val="30FC114A"/>
    <w:rsid w:val="324741E9"/>
    <w:rsid w:val="329D7C8B"/>
    <w:rsid w:val="32DC7453"/>
    <w:rsid w:val="32E4633A"/>
    <w:rsid w:val="33337A73"/>
    <w:rsid w:val="35896D27"/>
    <w:rsid w:val="36214319"/>
    <w:rsid w:val="368F7FAD"/>
    <w:rsid w:val="36E025F7"/>
    <w:rsid w:val="37020B1B"/>
    <w:rsid w:val="37D5281F"/>
    <w:rsid w:val="38BE64AD"/>
    <w:rsid w:val="395714A0"/>
    <w:rsid w:val="395D29A2"/>
    <w:rsid w:val="3A305F80"/>
    <w:rsid w:val="3A72247D"/>
    <w:rsid w:val="3B4A2E09"/>
    <w:rsid w:val="3B594B15"/>
    <w:rsid w:val="3C866CC7"/>
    <w:rsid w:val="3F0E69D2"/>
    <w:rsid w:val="3F845058"/>
    <w:rsid w:val="405745EF"/>
    <w:rsid w:val="40AD365B"/>
    <w:rsid w:val="41B51FF0"/>
    <w:rsid w:val="41B64AD1"/>
    <w:rsid w:val="41FB36A0"/>
    <w:rsid w:val="43D60B8C"/>
    <w:rsid w:val="43F32DAA"/>
    <w:rsid w:val="463B61D4"/>
    <w:rsid w:val="46601D24"/>
    <w:rsid w:val="478B56E4"/>
    <w:rsid w:val="47D91D8D"/>
    <w:rsid w:val="47F170D7"/>
    <w:rsid w:val="48AA54D8"/>
    <w:rsid w:val="4A1B668D"/>
    <w:rsid w:val="4A496D7A"/>
    <w:rsid w:val="4A6D183E"/>
    <w:rsid w:val="4ADF590D"/>
    <w:rsid w:val="4C6C1338"/>
    <w:rsid w:val="4CA263E4"/>
    <w:rsid w:val="4D1664F5"/>
    <w:rsid w:val="4E4D417C"/>
    <w:rsid w:val="4E617D89"/>
    <w:rsid w:val="4ECB50D3"/>
    <w:rsid w:val="4F365D17"/>
    <w:rsid w:val="4F69363C"/>
    <w:rsid w:val="518339CE"/>
    <w:rsid w:val="5334555B"/>
    <w:rsid w:val="53F02939"/>
    <w:rsid w:val="53F34762"/>
    <w:rsid w:val="545000F2"/>
    <w:rsid w:val="546D0104"/>
    <w:rsid w:val="54704F4A"/>
    <w:rsid w:val="54C077AE"/>
    <w:rsid w:val="56B3607D"/>
    <w:rsid w:val="56F45A19"/>
    <w:rsid w:val="577C30AB"/>
    <w:rsid w:val="58216391"/>
    <w:rsid w:val="5A4828C5"/>
    <w:rsid w:val="5AB04BD0"/>
    <w:rsid w:val="5B9A6A06"/>
    <w:rsid w:val="5C052D02"/>
    <w:rsid w:val="5C07081F"/>
    <w:rsid w:val="5C871960"/>
    <w:rsid w:val="5DB53B0C"/>
    <w:rsid w:val="5E406B5E"/>
    <w:rsid w:val="5E8520FF"/>
    <w:rsid w:val="5EF46457"/>
    <w:rsid w:val="5F223BC2"/>
    <w:rsid w:val="5F3A04AB"/>
    <w:rsid w:val="601E5C14"/>
    <w:rsid w:val="60877632"/>
    <w:rsid w:val="60F9473A"/>
    <w:rsid w:val="612C3EB2"/>
    <w:rsid w:val="62C0704D"/>
    <w:rsid w:val="62C27934"/>
    <w:rsid w:val="62FB30A8"/>
    <w:rsid w:val="63DA79A5"/>
    <w:rsid w:val="63F20856"/>
    <w:rsid w:val="64063AB3"/>
    <w:rsid w:val="648B1196"/>
    <w:rsid w:val="65B251F3"/>
    <w:rsid w:val="65B62360"/>
    <w:rsid w:val="6618187B"/>
    <w:rsid w:val="6692003C"/>
    <w:rsid w:val="671D704F"/>
    <w:rsid w:val="67323E04"/>
    <w:rsid w:val="673B5904"/>
    <w:rsid w:val="67980EC5"/>
    <w:rsid w:val="67E81911"/>
    <w:rsid w:val="68003C21"/>
    <w:rsid w:val="68723267"/>
    <w:rsid w:val="68AF320A"/>
    <w:rsid w:val="690A42D4"/>
    <w:rsid w:val="69444545"/>
    <w:rsid w:val="69670B4F"/>
    <w:rsid w:val="6A731776"/>
    <w:rsid w:val="6A7F636D"/>
    <w:rsid w:val="6BC95474"/>
    <w:rsid w:val="6BFC3B49"/>
    <w:rsid w:val="6C0B519E"/>
    <w:rsid w:val="6C304A9D"/>
    <w:rsid w:val="6CAB23A5"/>
    <w:rsid w:val="6CC76EB2"/>
    <w:rsid w:val="6DEC5B90"/>
    <w:rsid w:val="6E4154EC"/>
    <w:rsid w:val="6E797469"/>
    <w:rsid w:val="6E8C1D6D"/>
    <w:rsid w:val="6E926E31"/>
    <w:rsid w:val="6F687CFC"/>
    <w:rsid w:val="709131E5"/>
    <w:rsid w:val="70AA2A66"/>
    <w:rsid w:val="713F598F"/>
    <w:rsid w:val="71480BE7"/>
    <w:rsid w:val="715A543E"/>
    <w:rsid w:val="72C91535"/>
    <w:rsid w:val="75210DC6"/>
    <w:rsid w:val="7564688B"/>
    <w:rsid w:val="77ED0865"/>
    <w:rsid w:val="78816041"/>
    <w:rsid w:val="7A8D0632"/>
    <w:rsid w:val="7AA31C03"/>
    <w:rsid w:val="7BB35DD6"/>
    <w:rsid w:val="7C2C0318"/>
    <w:rsid w:val="7C3A20F4"/>
    <w:rsid w:val="7CE75169"/>
    <w:rsid w:val="7D04329E"/>
    <w:rsid w:val="7DD547CA"/>
    <w:rsid w:val="7E5E7FF8"/>
    <w:rsid w:val="7E6A78CD"/>
    <w:rsid w:val="7E991353"/>
    <w:rsid w:val="7EC54EA0"/>
    <w:rsid w:val="7EDB372F"/>
    <w:rsid w:val="7F3A21A9"/>
    <w:rsid w:val="7FEE5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paragraph" w:styleId="3">
    <w:name w:val="heading 3"/>
    <w:basedOn w:val="1"/>
    <w:next w:val="1"/>
    <w:link w:val="23"/>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1"/>
    </w:rPr>
  </w:style>
  <w:style w:type="paragraph" w:styleId="5">
    <w:name w:val="annotation text"/>
    <w:basedOn w:val="1"/>
    <w:qFormat/>
    <w:uiPriority w:val="0"/>
    <w:pPr>
      <w:jc w:val="left"/>
    </w:pPr>
  </w:style>
  <w:style w:type="paragraph" w:styleId="6">
    <w:name w:val="Body Text"/>
    <w:basedOn w:val="1"/>
    <w:qFormat/>
    <w:uiPriority w:val="0"/>
    <w:pPr>
      <w:autoSpaceDE w:val="0"/>
      <w:autoSpaceDN w:val="0"/>
      <w:adjustRightInd w:val="0"/>
      <w:jc w:val="left"/>
    </w:pPr>
    <w:rPr>
      <w:rFonts w:ascii="宋体"/>
      <w:kern w:val="0"/>
      <w:sz w:val="28"/>
    </w:rPr>
  </w:style>
  <w:style w:type="paragraph" w:styleId="7">
    <w:name w:val="Plain Text"/>
    <w:basedOn w:val="1"/>
    <w:qFormat/>
    <w:uiPriority w:val="0"/>
    <w:rPr>
      <w:rFonts w:ascii="宋体" w:hAnsi="Courier New" w:cs="Courier New" w:eastAsiaTheme="minorEastAsia"/>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12">
    <w:name w:val="toc 1"/>
    <w:basedOn w:val="1"/>
    <w:next w:val="1"/>
    <w:semiHidden/>
    <w:qFormat/>
    <w:uiPriority w:val="0"/>
    <w:pPr>
      <w:spacing w:after="200" w:line="276" w:lineRule="auto"/>
      <w:jc w:val="left"/>
    </w:pPr>
    <w:rPr>
      <w:rFonts w:ascii="Calibri" w:hAnsi="Calibri"/>
      <w:kern w:val="0"/>
      <w:sz w:val="22"/>
      <w:szCs w:val="22"/>
      <w:lang w:eastAsia="en-US"/>
    </w:rPr>
  </w:style>
  <w:style w:type="paragraph" w:styleId="13">
    <w:name w:val="toc 2"/>
    <w:basedOn w:val="14"/>
    <w:next w:val="14"/>
    <w:qFormat/>
    <w:uiPriority w:val="39"/>
    <w:pPr>
      <w:ind w:left="210"/>
      <w:jc w:val="left"/>
    </w:pPr>
    <w:rPr>
      <w:rFonts w:ascii="等线"/>
      <w:smallCaps/>
      <w:sz w:val="20"/>
      <w:szCs w:val="20"/>
    </w:rPr>
  </w:style>
  <w:style w:type="paragraph" w:customStyle="1" w:styleId="14">
    <w:name w:val="正文_1"/>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Normal Indent1"/>
    <w:basedOn w:val="16"/>
    <w:qFormat/>
    <w:uiPriority w:val="0"/>
    <w:pPr>
      <w:ind w:firstLine="420" w:firstLineChars="200"/>
    </w:pPr>
  </w:style>
  <w:style w:type="paragraph" w:customStyle="1" w:styleId="16">
    <w:name w:val="正文_1_0"/>
    <w:next w:val="4"/>
    <w:qFormat/>
    <w:uiPriority w:val="0"/>
    <w:pPr>
      <w:widowControl w:val="0"/>
      <w:jc w:val="both"/>
    </w:pPr>
    <w:rPr>
      <w:rFonts w:ascii="Times New Roman" w:hAnsi="Times New Roman" w:eastAsia="宋体" w:cs="Times New Roman"/>
      <w:kern w:val="2"/>
      <w:sz w:val="21"/>
      <w:szCs w:val="22"/>
      <w:lang w:val="en-US" w:eastAsia="zh-CN" w:bidi="ar-SA"/>
    </w:r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3">
    <w:name w:val="标题 3 字符"/>
    <w:link w:val="3"/>
    <w:qFormat/>
    <w:uiPriority w:val="0"/>
    <w:rPr>
      <w:rFonts w:ascii="宋体" w:hAnsi="宋体" w:cs="宋体"/>
      <w:b/>
      <w:sz w:val="27"/>
      <w:szCs w:val="27"/>
    </w:rPr>
  </w:style>
  <w:style w:type="character" w:customStyle="1" w:styleId="24">
    <w:name w:val="font31"/>
    <w:qFormat/>
    <w:uiPriority w:val="0"/>
    <w:rPr>
      <w:rFonts w:hint="eastAsia" w:ascii="宋体" w:hAnsi="宋体" w:eastAsia="宋体" w:cs="宋体"/>
      <w:color w:val="333333"/>
      <w:sz w:val="22"/>
      <w:szCs w:val="22"/>
      <w:u w:val="none"/>
    </w:rPr>
  </w:style>
  <w:style w:type="character" w:customStyle="1" w:styleId="25">
    <w:name w:val="font11"/>
    <w:qFormat/>
    <w:uiPriority w:val="0"/>
    <w:rPr>
      <w:rFonts w:hint="eastAsia" w:ascii="宋体" w:hAnsi="宋体" w:eastAsia="宋体" w:cs="宋体"/>
      <w:b/>
      <w:color w:val="333333"/>
      <w:sz w:val="24"/>
      <w:szCs w:val="24"/>
      <w:u w:val="none"/>
    </w:rPr>
  </w:style>
  <w:style w:type="character" w:customStyle="1" w:styleId="26">
    <w:name w:val="font61"/>
    <w:qFormat/>
    <w:uiPriority w:val="0"/>
    <w:rPr>
      <w:rFonts w:hint="eastAsia" w:ascii="宋体" w:hAnsi="宋体" w:eastAsia="宋体" w:cs="宋体"/>
      <w:color w:val="333333"/>
      <w:sz w:val="20"/>
      <w:szCs w:val="20"/>
      <w:u w:val="none"/>
    </w:rPr>
  </w:style>
  <w:style w:type="character" w:customStyle="1" w:styleId="27">
    <w:name w:val="font81"/>
    <w:qFormat/>
    <w:uiPriority w:val="0"/>
    <w:rPr>
      <w:rFonts w:hint="eastAsia" w:ascii="宋体" w:hAnsi="宋体" w:eastAsia="宋体" w:cs="宋体"/>
      <w:color w:val="000000"/>
      <w:sz w:val="24"/>
      <w:szCs w:val="24"/>
      <w:u w:val="none"/>
    </w:rPr>
  </w:style>
  <w:style w:type="character" w:customStyle="1" w:styleId="28">
    <w:name w:val="font101"/>
    <w:qFormat/>
    <w:uiPriority w:val="0"/>
    <w:rPr>
      <w:rFonts w:hint="default" w:ascii="Times New Roman" w:hAnsi="Times New Roman" w:cs="Times New Roman"/>
      <w:color w:val="000000"/>
      <w:sz w:val="22"/>
      <w:szCs w:val="22"/>
      <w:u w:val="none"/>
    </w:rPr>
  </w:style>
  <w:style w:type="character" w:customStyle="1" w:styleId="29">
    <w:name w:val="font01"/>
    <w:qFormat/>
    <w:uiPriority w:val="0"/>
    <w:rPr>
      <w:rFonts w:hint="eastAsia" w:ascii="宋体" w:hAnsi="宋体" w:eastAsia="宋体" w:cs="宋体"/>
      <w:color w:val="333333"/>
      <w:sz w:val="28"/>
      <w:szCs w:val="28"/>
      <w:u w:val="none"/>
    </w:rPr>
  </w:style>
  <w:style w:type="character" w:customStyle="1" w:styleId="30">
    <w:name w:val="font41"/>
    <w:qFormat/>
    <w:uiPriority w:val="0"/>
    <w:rPr>
      <w:rFonts w:hint="eastAsia" w:ascii="宋体" w:hAnsi="宋体" w:eastAsia="宋体" w:cs="宋体"/>
      <w:color w:val="000000"/>
      <w:sz w:val="22"/>
      <w:szCs w:val="22"/>
      <w:u w:val="none"/>
    </w:rPr>
  </w:style>
  <w:style w:type="character" w:customStyle="1" w:styleId="31">
    <w:name w:val="标题1"/>
    <w:qFormat/>
    <w:uiPriority w:val="0"/>
  </w:style>
  <w:style w:type="character" w:customStyle="1" w:styleId="32">
    <w:name w:val="font122"/>
    <w:qFormat/>
    <w:uiPriority w:val="0"/>
    <w:rPr>
      <w:rFonts w:hint="eastAsia" w:ascii="宋体" w:hAnsi="宋体" w:eastAsia="宋体" w:cs="宋体"/>
      <w:b/>
      <w:bCs/>
      <w:color w:val="333333"/>
      <w:sz w:val="24"/>
      <w:szCs w:val="24"/>
      <w:u w:val="none"/>
    </w:rPr>
  </w:style>
  <w:style w:type="character" w:customStyle="1" w:styleId="33">
    <w:name w:val="font131"/>
    <w:qFormat/>
    <w:uiPriority w:val="0"/>
    <w:rPr>
      <w:rFonts w:ascii="Tahoma" w:hAnsi="Tahoma" w:eastAsia="Tahoma" w:cs="Tahoma"/>
      <w:color w:val="000000"/>
      <w:sz w:val="24"/>
      <w:szCs w:val="24"/>
      <w:u w:val="none"/>
    </w:rPr>
  </w:style>
  <w:style w:type="character" w:customStyle="1" w:styleId="34">
    <w:name w:val="font141"/>
    <w:qFormat/>
    <w:uiPriority w:val="0"/>
    <w:rPr>
      <w:rFonts w:ascii="Calibri" w:hAnsi="Calibri" w:cs="Calibri"/>
      <w:color w:val="000000"/>
      <w:sz w:val="24"/>
      <w:szCs w:val="24"/>
      <w:u w:val="none"/>
    </w:rPr>
  </w:style>
  <w:style w:type="character" w:customStyle="1" w:styleId="35">
    <w:name w:val="font151"/>
    <w:qFormat/>
    <w:uiPriority w:val="0"/>
    <w:rPr>
      <w:rFonts w:hint="default" w:ascii="Tahoma" w:hAnsi="Tahoma" w:eastAsia="Tahoma" w:cs="Tahoma"/>
      <w:color w:val="000000"/>
      <w:sz w:val="24"/>
      <w:szCs w:val="24"/>
      <w:u w:val="none"/>
    </w:rPr>
  </w:style>
  <w:style w:type="character" w:customStyle="1" w:styleId="36">
    <w:name w:val="font161"/>
    <w:qFormat/>
    <w:uiPriority w:val="0"/>
    <w:rPr>
      <w:rFonts w:hint="eastAsia" w:ascii="宋体" w:hAnsi="宋体" w:eastAsia="宋体" w:cs="宋体"/>
      <w:color w:val="000000"/>
      <w:sz w:val="24"/>
      <w:szCs w:val="24"/>
      <w:u w:val="none"/>
    </w:rPr>
  </w:style>
  <w:style w:type="paragraph" w:customStyle="1" w:styleId="37">
    <w:name w:val="正文_0"/>
    <w:next w:val="13"/>
    <w:qFormat/>
    <w:uiPriority w:val="0"/>
    <w:pPr>
      <w:widowControl w:val="0"/>
      <w:ind w:firstLine="360"/>
      <w:jc w:val="both"/>
    </w:pPr>
    <w:rPr>
      <w:rFonts w:ascii="Calibri" w:hAnsi="Calibri" w:eastAsia="宋体" w:cs="Times New Roman"/>
      <w:kern w:val="2"/>
      <w:sz w:val="21"/>
      <w:szCs w:val="22"/>
      <w:lang w:val="en-US" w:eastAsia="zh-CN" w:bidi="ar-SA"/>
    </w:rPr>
  </w:style>
  <w:style w:type="paragraph" w:customStyle="1" w:styleId="38">
    <w:name w:val="Table Paragraph"/>
    <w:basedOn w:val="37"/>
    <w:qFormat/>
    <w:uiPriority w:val="1"/>
  </w:style>
  <w:style w:type="character" w:customStyle="1" w:styleId="39">
    <w:name w:val="p0 Char Char"/>
    <w:link w:val="40"/>
    <w:qFormat/>
    <w:uiPriority w:val="0"/>
    <w:rPr>
      <w:rFonts w:ascii="Times New Roman" w:hAnsi="Times New Roman" w:eastAsia="宋体" w:cs="Times New Roman"/>
      <w:sz w:val="21"/>
      <w:szCs w:val="21"/>
      <w:lang w:val="en-US" w:eastAsia="zh-CN" w:bidi="ar-SA"/>
    </w:rPr>
  </w:style>
  <w:style w:type="paragraph" w:customStyle="1" w:styleId="40">
    <w:name w:val="p0"/>
    <w:basedOn w:val="1"/>
    <w:link w:val="39"/>
    <w:qFormat/>
    <w:uiPriority w:val="0"/>
    <w:pPr>
      <w:widowControl/>
    </w:pPr>
    <w:rPr>
      <w:szCs w:val="21"/>
    </w:rPr>
  </w:style>
  <w:style w:type="character" w:customStyle="1" w:styleId="41">
    <w:name w:val="font21"/>
    <w:qFormat/>
    <w:uiPriority w:val="0"/>
    <w:rPr>
      <w:rFonts w:hint="eastAsia" w:ascii="宋体" w:hAnsi="宋体" w:eastAsia="宋体" w:cs="宋体"/>
      <w:color w:val="000000"/>
      <w:sz w:val="24"/>
      <w:szCs w:val="24"/>
      <w:u w:val="none"/>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图"/>
    <w:basedOn w:val="1"/>
    <w:qFormat/>
    <w:uiPriority w:val="0"/>
    <w:pPr>
      <w:keepNext/>
      <w:spacing w:before="60" w:after="60" w:line="300" w:lineRule="auto"/>
      <w:jc w:val="center"/>
      <w:textAlignment w:val="center"/>
    </w:pPr>
    <w:rPr>
      <w:snapToGrid w:val="0"/>
      <w:spacing w:val="20"/>
      <w:sz w:val="24"/>
      <w:szCs w:val="20"/>
    </w:rPr>
  </w:style>
  <w:style w:type="paragraph" w:customStyle="1" w:styleId="44">
    <w:name w:val="正文+缩进"/>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7110</Words>
  <Characters>7438</Characters>
  <Lines>75</Lines>
  <Paragraphs>21</Paragraphs>
  <TotalTime>5</TotalTime>
  <ScaleCrop>false</ScaleCrop>
  <LinksUpToDate>false</LinksUpToDate>
  <CharactersWithSpaces>8144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2024-08-11T07:52:00Z</dcterms:created>
  <dc:creator>微软用户</dc:creator>
  <cp:lastModifiedBy>user</cp:lastModifiedBy>
  <cp:lastPrinted>2024-08-22T03:11:00Z</cp:lastPrinted>
  <dcterms:modified xsi:type="dcterms:W3CDTF">2024-09-09T01:54:53Z</dcterms:modified>
  <dc:title>北山湾校区教学楼及实训楼安装窗帘项目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2B722EEB6F854AD8A56BA207E996653A_13</vt:lpwstr>
  </property>
</Properties>
</file>