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DD2230A"/>
    <w:p w14:paraId="00B62C10">
      <w:pPr>
        <w:pStyle w:val="59"/>
      </w:pPr>
    </w:p>
    <w:p w14:paraId="2D66AF8F">
      <w:pPr>
        <w:pStyle w:val="39"/>
      </w:pPr>
    </w:p>
    <w:p w14:paraId="3A68EA82">
      <w:pPr>
        <w:spacing w:line="360" w:lineRule="auto"/>
        <w:ind w:left="-2" w:leftChars="-1"/>
        <w:jc w:val="center"/>
        <w:rPr>
          <w:rFonts w:ascii="微软雅黑" w:hAnsi="微软雅黑" w:eastAsia="微软雅黑"/>
          <w:b/>
          <w:sz w:val="44"/>
          <w:szCs w:val="36"/>
        </w:rPr>
      </w:pPr>
      <w:r>
        <w:rPr>
          <w:rFonts w:hint="eastAsia" w:ascii="微软雅黑" w:hAnsi="微软雅黑" w:eastAsia="微软雅黑"/>
          <w:b/>
          <w:sz w:val="44"/>
          <w:szCs w:val="36"/>
          <w:lang w:eastAsia="zh-CN"/>
        </w:rPr>
        <w:t>广东省粤东技师学院海天数智化综合实训基地改造工程</w:t>
      </w:r>
    </w:p>
    <w:p w14:paraId="54C67709">
      <w:pPr>
        <w:spacing w:line="360" w:lineRule="auto"/>
        <w:ind w:left="-2" w:leftChars="-1"/>
        <w:jc w:val="center"/>
        <w:rPr>
          <w:rFonts w:hint="eastAsia" w:ascii="微软雅黑" w:hAnsi="微软雅黑" w:eastAsia="微软雅黑"/>
          <w:b/>
          <w:sz w:val="44"/>
          <w:szCs w:val="36"/>
          <w:lang w:eastAsia="zh-CN"/>
        </w:rPr>
      </w:pPr>
      <w:r>
        <w:rPr>
          <w:rFonts w:hint="eastAsia" w:ascii="微软雅黑" w:hAnsi="微软雅黑" w:eastAsia="微软雅黑"/>
          <w:b/>
          <w:sz w:val="44"/>
          <w:szCs w:val="36"/>
        </w:rPr>
        <w:t>项目编号：</w:t>
      </w:r>
      <w:r>
        <w:rPr>
          <w:rFonts w:hint="eastAsia" w:ascii="微软雅黑" w:hAnsi="微软雅黑" w:eastAsia="微软雅黑"/>
          <w:b/>
          <w:sz w:val="44"/>
          <w:szCs w:val="36"/>
          <w:lang w:eastAsia="zh-CN"/>
        </w:rPr>
        <w:t>YL202411248</w:t>
      </w:r>
    </w:p>
    <w:p w14:paraId="654A5B0A">
      <w:pPr>
        <w:spacing w:line="360" w:lineRule="auto"/>
      </w:pPr>
    </w:p>
    <w:p w14:paraId="04C74B91">
      <w:pPr>
        <w:rPr>
          <w:rFonts w:ascii="微软雅黑" w:hAnsi="微软雅黑" w:eastAsia="微软雅黑"/>
          <w:szCs w:val="36"/>
        </w:rPr>
      </w:pPr>
    </w:p>
    <w:p w14:paraId="71165495">
      <w:pPr>
        <w:spacing w:line="360" w:lineRule="auto"/>
        <w:jc w:val="center"/>
        <w:rPr>
          <w:rFonts w:ascii="微软雅黑" w:hAnsi="微软雅黑" w:eastAsia="微软雅黑"/>
          <w:b/>
          <w:sz w:val="56"/>
          <w:szCs w:val="36"/>
        </w:rPr>
      </w:pPr>
    </w:p>
    <w:p w14:paraId="198850C3">
      <w:pPr>
        <w:spacing w:line="360" w:lineRule="auto"/>
        <w:jc w:val="center"/>
        <w:rPr>
          <w:rFonts w:ascii="微软雅黑" w:hAnsi="微软雅黑" w:eastAsia="微软雅黑"/>
          <w:b/>
          <w:sz w:val="56"/>
          <w:szCs w:val="36"/>
        </w:rPr>
      </w:pPr>
      <w:r>
        <w:rPr>
          <w:rFonts w:hint="eastAsia" w:ascii="微软雅黑" w:hAnsi="微软雅黑" w:eastAsia="微软雅黑"/>
          <w:b/>
          <w:sz w:val="56"/>
          <w:szCs w:val="36"/>
          <w:lang w:val="en-US" w:eastAsia="zh-CN"/>
        </w:rPr>
        <w:t>遴 选</w:t>
      </w:r>
      <w:r>
        <w:rPr>
          <w:rFonts w:hint="eastAsia" w:ascii="微软雅黑" w:hAnsi="微软雅黑" w:eastAsia="微软雅黑"/>
          <w:b/>
          <w:sz w:val="56"/>
          <w:szCs w:val="36"/>
        </w:rPr>
        <w:t xml:space="preserve"> 文 件</w:t>
      </w:r>
    </w:p>
    <w:p w14:paraId="442EAC93"/>
    <w:p w14:paraId="6FC442EA"/>
    <w:p w14:paraId="543E1FAB">
      <w:pPr>
        <w:ind w:firstLine="869"/>
      </w:pPr>
    </w:p>
    <w:p w14:paraId="4552D9CC"/>
    <w:p w14:paraId="2B2B13AC"/>
    <w:p w14:paraId="323FE715"/>
    <w:p w14:paraId="244E9377">
      <w:pPr>
        <w:pStyle w:val="59"/>
      </w:pPr>
    </w:p>
    <w:p w14:paraId="68799A09">
      <w:pPr>
        <w:pStyle w:val="39"/>
      </w:pPr>
    </w:p>
    <w:p w14:paraId="35A5947F">
      <w:pPr>
        <w:pStyle w:val="39"/>
      </w:pPr>
    </w:p>
    <w:p w14:paraId="7B536E9C"/>
    <w:p w14:paraId="1E8082DF"/>
    <w:p w14:paraId="69CB5351"/>
    <w:p w14:paraId="7C01028B"/>
    <w:p w14:paraId="33349E24"/>
    <w:p w14:paraId="21804F94">
      <w:pPr>
        <w:spacing w:line="360" w:lineRule="auto"/>
        <w:jc w:val="center"/>
        <w:rPr>
          <w:rFonts w:hint="eastAsia" w:ascii="微软雅黑" w:hAnsi="微软雅黑" w:eastAsia="微软雅黑"/>
          <w:sz w:val="28"/>
          <w:szCs w:val="36"/>
          <w:lang w:eastAsia="zh-CN"/>
        </w:rPr>
      </w:pPr>
      <w:r>
        <w:rPr>
          <w:rFonts w:hint="eastAsia" w:ascii="微软雅黑" w:hAnsi="微软雅黑" w:eastAsia="微软雅黑"/>
          <w:sz w:val="28"/>
          <w:szCs w:val="36"/>
        </w:rPr>
        <w:t>采购人：</w:t>
      </w:r>
      <w:r>
        <w:rPr>
          <w:rFonts w:hint="eastAsia" w:ascii="微软雅黑" w:hAnsi="微软雅黑" w:eastAsia="微软雅黑"/>
          <w:sz w:val="28"/>
          <w:szCs w:val="36"/>
          <w:lang w:eastAsia="zh-CN"/>
        </w:rPr>
        <w:t>广东省粤东技师学院</w:t>
      </w:r>
    </w:p>
    <w:p w14:paraId="43A18193">
      <w:pPr>
        <w:spacing w:line="360" w:lineRule="auto"/>
        <w:jc w:val="center"/>
        <w:rPr>
          <w:rFonts w:ascii="微软雅黑" w:hAnsi="微软雅黑" w:eastAsia="微软雅黑"/>
          <w:sz w:val="28"/>
          <w:szCs w:val="36"/>
        </w:rPr>
      </w:pPr>
      <w:r>
        <w:rPr>
          <w:rFonts w:hint="eastAsia" w:ascii="微软雅黑" w:hAnsi="微软雅黑" w:eastAsia="微软雅黑"/>
          <w:sz w:val="28"/>
          <w:szCs w:val="36"/>
          <w:lang w:eastAsia="zh-CN"/>
        </w:rPr>
        <w:t>遴选服务单位</w:t>
      </w:r>
      <w:r>
        <w:rPr>
          <w:rFonts w:hint="eastAsia" w:ascii="微软雅黑" w:hAnsi="微软雅黑" w:eastAsia="微软雅黑"/>
          <w:sz w:val="28"/>
          <w:szCs w:val="36"/>
        </w:rPr>
        <w:t>：粤廉（广东）招标代理有限公司</w:t>
      </w:r>
    </w:p>
    <w:p w14:paraId="4B7889DE">
      <w:pPr>
        <w:spacing w:line="360" w:lineRule="auto"/>
        <w:jc w:val="center"/>
        <w:rPr>
          <w:rFonts w:ascii="微软雅黑" w:hAnsi="微软雅黑" w:eastAsia="微软雅黑"/>
          <w:sz w:val="28"/>
          <w:szCs w:val="36"/>
        </w:rPr>
      </w:pPr>
      <w:r>
        <w:rPr>
          <w:rFonts w:ascii="微软雅黑" w:hAnsi="微软雅黑" w:eastAsia="微软雅黑"/>
          <w:sz w:val="28"/>
          <w:szCs w:val="36"/>
        </w:rPr>
        <w:t>日期：</w:t>
      </w:r>
      <w:r>
        <w:rPr>
          <w:rFonts w:hint="eastAsia" w:ascii="微软雅黑" w:hAnsi="微软雅黑" w:eastAsia="微软雅黑"/>
          <w:sz w:val="28"/>
          <w:szCs w:val="36"/>
          <w:lang w:eastAsia="zh-CN"/>
        </w:rPr>
        <w:t>202</w:t>
      </w:r>
      <w:r>
        <w:rPr>
          <w:rFonts w:hint="eastAsia" w:ascii="微软雅黑" w:hAnsi="微软雅黑" w:eastAsia="微软雅黑"/>
          <w:sz w:val="28"/>
          <w:szCs w:val="36"/>
          <w:lang w:val="en-US" w:eastAsia="zh-CN"/>
        </w:rPr>
        <w:t>5</w:t>
      </w:r>
      <w:r>
        <w:rPr>
          <w:rFonts w:hint="eastAsia" w:ascii="微软雅黑" w:hAnsi="微软雅黑" w:eastAsia="微软雅黑"/>
          <w:sz w:val="28"/>
          <w:szCs w:val="36"/>
        </w:rPr>
        <w:t>年</w:t>
      </w:r>
      <w:r>
        <w:rPr>
          <w:rFonts w:hint="eastAsia" w:ascii="微软雅黑" w:hAnsi="微软雅黑" w:eastAsia="微软雅黑"/>
          <w:sz w:val="28"/>
          <w:szCs w:val="36"/>
          <w:lang w:val="en-US" w:eastAsia="zh-CN"/>
        </w:rPr>
        <w:t>1</w:t>
      </w:r>
      <w:r>
        <w:rPr>
          <w:rFonts w:hint="eastAsia" w:ascii="微软雅黑" w:hAnsi="微软雅黑" w:eastAsia="微软雅黑"/>
          <w:sz w:val="28"/>
          <w:szCs w:val="36"/>
        </w:rPr>
        <w:t>月</w:t>
      </w:r>
    </w:p>
    <w:p w14:paraId="4785BEA9">
      <w:pPr>
        <w:pStyle w:val="59"/>
        <w:sectPr>
          <w:headerReference r:id="rId3" w:type="default"/>
          <w:footerReference r:id="rId4" w:type="default"/>
          <w:pgSz w:w="11906" w:h="16838"/>
          <w:pgMar w:top="1440" w:right="1080" w:bottom="1440" w:left="1080" w:header="709" w:footer="848" w:gutter="0"/>
          <w:pgNumType w:start="1"/>
          <w:cols w:space="720" w:num="1"/>
          <w:docGrid w:linePitch="312" w:charSpace="0"/>
        </w:sectPr>
      </w:pPr>
    </w:p>
    <w:p w14:paraId="3EB6B505">
      <w:pPr>
        <w:spacing w:before="120" w:beforeLines="50" w:after="120" w:afterLines="50"/>
        <w:jc w:val="center"/>
        <w:rPr>
          <w:rFonts w:ascii="微软雅黑" w:hAnsi="微软雅黑" w:eastAsia="微软雅黑"/>
          <w:b/>
          <w:sz w:val="28"/>
          <w:szCs w:val="52"/>
        </w:rPr>
      </w:pPr>
      <w:bookmarkStart w:id="0" w:name="_Toc536717643"/>
      <w:bookmarkStart w:id="1" w:name="_Toc536630032"/>
      <w:r>
        <w:rPr>
          <w:rFonts w:hint="eastAsia" w:ascii="微软雅黑" w:hAnsi="微软雅黑" w:eastAsia="微软雅黑"/>
          <w:b/>
          <w:sz w:val="28"/>
          <w:szCs w:val="52"/>
        </w:rPr>
        <w:t>温馨提示</w:t>
      </w:r>
      <w:bookmarkEnd w:id="0"/>
      <w:bookmarkEnd w:id="1"/>
      <w:r>
        <w:rPr>
          <w:rFonts w:hint="eastAsia" w:ascii="微软雅黑" w:hAnsi="微软雅黑" w:eastAsia="微软雅黑"/>
          <w:b/>
          <w:sz w:val="28"/>
          <w:szCs w:val="52"/>
        </w:rPr>
        <w:t>：</w:t>
      </w:r>
      <w:r>
        <w:rPr>
          <w:rFonts w:hint="eastAsia" w:ascii="微软雅黑" w:hAnsi="微软雅黑" w:eastAsia="微软雅黑"/>
          <w:b/>
          <w:sz w:val="28"/>
          <w:szCs w:val="52"/>
          <w:lang w:eastAsia="zh-CN"/>
        </w:rPr>
        <w:t>响应供应商</w:t>
      </w:r>
      <w:r>
        <w:rPr>
          <w:rFonts w:hint="eastAsia" w:ascii="微软雅黑" w:hAnsi="微软雅黑" w:eastAsia="微软雅黑"/>
          <w:b/>
          <w:sz w:val="28"/>
          <w:szCs w:val="52"/>
        </w:rPr>
        <w:t>特别注意事项</w:t>
      </w:r>
    </w:p>
    <w:p w14:paraId="49BBEE9A">
      <w:pPr>
        <w:pStyle w:val="46"/>
        <w:spacing w:before="312" w:after="312" w:line="360" w:lineRule="auto"/>
        <w:outlineLvl w:val="9"/>
        <w:rPr>
          <w:rFonts w:ascii="仿宋" w:hAnsi="仿宋" w:eastAsia="仿宋"/>
          <w:bCs w:val="0"/>
          <w:sz w:val="24"/>
        </w:rPr>
      </w:pPr>
      <w:bookmarkStart w:id="2" w:name="_Toc536717644"/>
      <w:bookmarkStart w:id="3" w:name="_Toc536630033"/>
      <w:bookmarkStart w:id="4" w:name="_Toc5600"/>
      <w:bookmarkStart w:id="5" w:name="_Toc9258"/>
      <w:bookmarkStart w:id="6" w:name="_Toc16218"/>
      <w:bookmarkStart w:id="7" w:name="_Toc91288807"/>
      <w:r>
        <w:rPr>
          <w:rFonts w:hint="eastAsia" w:ascii="仿宋" w:hAnsi="仿宋" w:eastAsia="仿宋"/>
          <w:bCs w:val="0"/>
          <w:sz w:val="24"/>
        </w:rPr>
        <w:t>（本提示内容非</w:t>
      </w:r>
      <w:r>
        <w:rPr>
          <w:rFonts w:hint="eastAsia" w:ascii="仿宋" w:hAnsi="仿宋" w:eastAsia="仿宋"/>
          <w:bCs w:val="0"/>
          <w:sz w:val="24"/>
          <w:lang w:eastAsia="zh-CN"/>
        </w:rPr>
        <w:t>遴选文件</w:t>
      </w:r>
      <w:r>
        <w:rPr>
          <w:rFonts w:hint="eastAsia" w:ascii="仿宋" w:hAnsi="仿宋" w:eastAsia="仿宋"/>
          <w:bCs w:val="0"/>
          <w:sz w:val="24"/>
        </w:rPr>
        <w:t>的组成部分，仅为善意提醒。如有不一致，以</w:t>
      </w:r>
      <w:r>
        <w:rPr>
          <w:rFonts w:hint="eastAsia" w:ascii="仿宋" w:hAnsi="仿宋" w:eastAsia="仿宋"/>
          <w:bCs w:val="0"/>
          <w:sz w:val="24"/>
          <w:lang w:eastAsia="zh-CN"/>
        </w:rPr>
        <w:t>遴选文件</w:t>
      </w:r>
      <w:r>
        <w:rPr>
          <w:rFonts w:hint="eastAsia" w:ascii="仿宋" w:hAnsi="仿宋" w:eastAsia="仿宋"/>
          <w:bCs w:val="0"/>
          <w:sz w:val="24"/>
        </w:rPr>
        <w:t>为准）</w:t>
      </w:r>
      <w:bookmarkEnd w:id="2"/>
      <w:bookmarkEnd w:id="3"/>
      <w:bookmarkEnd w:id="4"/>
      <w:bookmarkEnd w:id="5"/>
      <w:bookmarkEnd w:id="6"/>
      <w:bookmarkEnd w:id="7"/>
    </w:p>
    <w:p w14:paraId="09DAA997">
      <w:pPr>
        <w:numPr>
          <w:ilvl w:val="0"/>
          <w:numId w:val="2"/>
        </w:numPr>
        <w:tabs>
          <w:tab w:val="left" w:pos="284"/>
        </w:tabs>
        <w:spacing w:line="360" w:lineRule="auto"/>
        <w:rPr>
          <w:rFonts w:ascii="仿宋" w:hAnsi="仿宋" w:eastAsia="仿宋"/>
          <w:sz w:val="24"/>
          <w:szCs w:val="21"/>
        </w:rPr>
      </w:pPr>
      <w:r>
        <w:rPr>
          <w:rFonts w:hint="eastAsia" w:ascii="仿宋" w:hAnsi="仿宋" w:eastAsia="仿宋"/>
          <w:sz w:val="24"/>
          <w:szCs w:val="21"/>
        </w:rPr>
        <w:t>请</w:t>
      </w:r>
      <w:r>
        <w:rPr>
          <w:rFonts w:hint="eastAsia" w:ascii="仿宋" w:hAnsi="仿宋" w:eastAsia="仿宋"/>
          <w:sz w:val="24"/>
          <w:szCs w:val="21"/>
          <w:lang w:eastAsia="zh-CN"/>
        </w:rPr>
        <w:t>响应供应商</w:t>
      </w:r>
      <w:r>
        <w:rPr>
          <w:rFonts w:hint="eastAsia" w:ascii="仿宋" w:hAnsi="仿宋" w:eastAsia="仿宋"/>
          <w:sz w:val="24"/>
          <w:szCs w:val="21"/>
        </w:rPr>
        <w:t>特别留意</w:t>
      </w:r>
      <w:r>
        <w:rPr>
          <w:rFonts w:hint="eastAsia" w:ascii="仿宋" w:hAnsi="仿宋" w:eastAsia="仿宋"/>
          <w:sz w:val="24"/>
          <w:szCs w:val="21"/>
          <w:lang w:eastAsia="zh-CN"/>
        </w:rPr>
        <w:t>遴选文件</w:t>
      </w:r>
      <w:r>
        <w:rPr>
          <w:rFonts w:hint="eastAsia" w:ascii="仿宋" w:hAnsi="仿宋" w:eastAsia="仿宋"/>
          <w:sz w:val="24"/>
          <w:szCs w:val="21"/>
        </w:rPr>
        <w:t>上注明的</w:t>
      </w:r>
      <w:r>
        <w:rPr>
          <w:rFonts w:hint="eastAsia" w:ascii="仿宋" w:hAnsi="仿宋" w:eastAsia="仿宋"/>
          <w:sz w:val="24"/>
          <w:szCs w:val="21"/>
          <w:lang w:eastAsia="zh-CN"/>
        </w:rPr>
        <w:t>响应文件</w:t>
      </w:r>
      <w:r>
        <w:rPr>
          <w:rFonts w:hint="eastAsia" w:ascii="仿宋" w:hAnsi="仿宋" w:eastAsia="仿宋"/>
          <w:sz w:val="24"/>
          <w:szCs w:val="21"/>
        </w:rPr>
        <w:t>提交截止时间，逾期送达或邮寄送达的</w:t>
      </w:r>
      <w:r>
        <w:rPr>
          <w:rFonts w:hint="eastAsia" w:ascii="仿宋" w:hAnsi="仿宋" w:eastAsia="仿宋"/>
          <w:sz w:val="24"/>
          <w:szCs w:val="21"/>
          <w:lang w:eastAsia="zh-CN"/>
        </w:rPr>
        <w:t>响应文件</w:t>
      </w:r>
      <w:r>
        <w:rPr>
          <w:rFonts w:hint="eastAsia" w:ascii="仿宋" w:hAnsi="仿宋" w:eastAsia="仿宋"/>
          <w:sz w:val="24"/>
          <w:szCs w:val="21"/>
        </w:rPr>
        <w:t>我司恕不接收。如无另行说明，</w:t>
      </w:r>
      <w:r>
        <w:rPr>
          <w:rFonts w:hint="eastAsia" w:ascii="仿宋" w:hAnsi="仿宋" w:eastAsia="仿宋"/>
          <w:sz w:val="24"/>
          <w:szCs w:val="21"/>
          <w:lang w:eastAsia="zh-CN"/>
        </w:rPr>
        <w:t>响应文件</w:t>
      </w:r>
      <w:r>
        <w:rPr>
          <w:rFonts w:hint="eastAsia" w:ascii="仿宋" w:hAnsi="仿宋" w:eastAsia="仿宋"/>
          <w:sz w:val="24"/>
          <w:szCs w:val="21"/>
        </w:rPr>
        <w:t>递交时间为</w:t>
      </w:r>
      <w:r>
        <w:rPr>
          <w:rFonts w:hint="eastAsia" w:ascii="仿宋" w:hAnsi="仿宋" w:eastAsia="仿宋"/>
          <w:sz w:val="24"/>
          <w:szCs w:val="21"/>
          <w:lang w:eastAsia="zh-CN"/>
        </w:rPr>
        <w:t>响应</w:t>
      </w:r>
      <w:r>
        <w:rPr>
          <w:rFonts w:hint="eastAsia" w:ascii="仿宋" w:hAnsi="仿宋" w:eastAsia="仿宋"/>
          <w:sz w:val="24"/>
          <w:szCs w:val="21"/>
        </w:rPr>
        <w:t>截止时间之前30分钟内。为避免因迟到而失去</w:t>
      </w:r>
      <w:r>
        <w:rPr>
          <w:rFonts w:hint="eastAsia" w:ascii="仿宋" w:hAnsi="仿宋" w:eastAsia="仿宋"/>
          <w:sz w:val="24"/>
          <w:szCs w:val="21"/>
          <w:lang w:eastAsia="zh-CN"/>
        </w:rPr>
        <w:t>响应</w:t>
      </w:r>
      <w:r>
        <w:rPr>
          <w:rFonts w:hint="eastAsia" w:ascii="仿宋" w:hAnsi="仿宋" w:eastAsia="仿宋"/>
          <w:sz w:val="24"/>
          <w:szCs w:val="21"/>
        </w:rPr>
        <w:t>资格，建议适当提前到达。</w:t>
      </w:r>
    </w:p>
    <w:p w14:paraId="06F68039">
      <w:pPr>
        <w:pStyle w:val="59"/>
      </w:pPr>
    </w:p>
    <w:p w14:paraId="2B6486BE">
      <w:pPr>
        <w:numPr>
          <w:ilvl w:val="0"/>
          <w:numId w:val="2"/>
        </w:numPr>
        <w:tabs>
          <w:tab w:val="left" w:pos="426"/>
        </w:tabs>
        <w:spacing w:line="360" w:lineRule="auto"/>
        <w:rPr>
          <w:rFonts w:ascii="仿宋" w:hAnsi="仿宋" w:eastAsia="仿宋"/>
          <w:sz w:val="24"/>
          <w:szCs w:val="21"/>
        </w:rPr>
      </w:pPr>
      <w:r>
        <w:rPr>
          <w:rFonts w:hint="eastAsia" w:ascii="仿宋" w:hAnsi="仿宋" w:eastAsia="仿宋"/>
          <w:sz w:val="24"/>
          <w:szCs w:val="21"/>
          <w:lang w:eastAsia="zh-CN"/>
        </w:rPr>
        <w:t>遴选文件</w:t>
      </w:r>
      <w:r>
        <w:rPr>
          <w:rFonts w:hint="eastAsia" w:ascii="仿宋" w:hAnsi="仿宋" w:eastAsia="仿宋"/>
          <w:sz w:val="24"/>
          <w:szCs w:val="21"/>
        </w:rPr>
        <w:t>中如标注“★”的条款，</w:t>
      </w:r>
      <w:r>
        <w:rPr>
          <w:rFonts w:hint="eastAsia" w:ascii="仿宋" w:hAnsi="仿宋" w:eastAsia="仿宋"/>
          <w:sz w:val="24"/>
          <w:szCs w:val="21"/>
          <w:lang w:eastAsia="zh-CN"/>
        </w:rPr>
        <w:t>响应供应商</w:t>
      </w:r>
      <w:r>
        <w:rPr>
          <w:rFonts w:hint="eastAsia" w:ascii="仿宋" w:hAnsi="仿宋" w:eastAsia="仿宋"/>
          <w:sz w:val="24"/>
          <w:szCs w:val="21"/>
        </w:rPr>
        <w:t>必须一一响应。若有一项带“★”的指标要求未响应或不满足，其</w:t>
      </w:r>
      <w:r>
        <w:rPr>
          <w:rFonts w:hint="eastAsia" w:ascii="仿宋" w:hAnsi="仿宋" w:eastAsia="仿宋"/>
          <w:sz w:val="24"/>
          <w:szCs w:val="21"/>
          <w:lang w:eastAsia="zh-CN"/>
        </w:rPr>
        <w:t>响应文件</w:t>
      </w:r>
      <w:r>
        <w:rPr>
          <w:rFonts w:hint="eastAsia" w:ascii="仿宋" w:hAnsi="仿宋" w:eastAsia="仿宋"/>
          <w:sz w:val="24"/>
          <w:szCs w:val="21"/>
        </w:rPr>
        <w:t>作无效处理。</w:t>
      </w:r>
      <w:r>
        <w:rPr>
          <w:rFonts w:hint="eastAsia" w:ascii="仿宋" w:hAnsi="仿宋" w:eastAsia="仿宋"/>
          <w:sz w:val="24"/>
          <w:szCs w:val="21"/>
          <w:lang w:eastAsia="zh-CN"/>
        </w:rPr>
        <w:t>响应文件</w:t>
      </w:r>
      <w:r>
        <w:rPr>
          <w:rFonts w:hint="eastAsia" w:ascii="仿宋" w:hAnsi="仿宋" w:eastAsia="仿宋"/>
          <w:sz w:val="24"/>
          <w:szCs w:val="21"/>
        </w:rPr>
        <w:t>应按顺序编制页码，请仔细检查</w:t>
      </w:r>
      <w:r>
        <w:rPr>
          <w:rFonts w:hint="eastAsia" w:ascii="仿宋" w:hAnsi="仿宋" w:eastAsia="仿宋"/>
          <w:sz w:val="24"/>
          <w:szCs w:val="21"/>
          <w:lang w:eastAsia="zh-CN"/>
        </w:rPr>
        <w:t>响应文件</w:t>
      </w:r>
      <w:r>
        <w:rPr>
          <w:rFonts w:hint="eastAsia" w:ascii="仿宋" w:hAnsi="仿宋" w:eastAsia="仿宋"/>
          <w:sz w:val="24"/>
          <w:szCs w:val="21"/>
        </w:rPr>
        <w:t>是否已按</w:t>
      </w:r>
      <w:r>
        <w:rPr>
          <w:rFonts w:hint="eastAsia" w:ascii="仿宋" w:hAnsi="仿宋" w:eastAsia="仿宋"/>
          <w:sz w:val="24"/>
          <w:szCs w:val="21"/>
          <w:lang w:eastAsia="zh-CN"/>
        </w:rPr>
        <w:t>遴选文件</w:t>
      </w:r>
      <w:r>
        <w:rPr>
          <w:rFonts w:hint="eastAsia" w:ascii="仿宋" w:hAnsi="仿宋" w:eastAsia="仿宋"/>
          <w:sz w:val="24"/>
          <w:szCs w:val="21"/>
        </w:rPr>
        <w:t>要求盖章、签名、签署日期。</w:t>
      </w:r>
    </w:p>
    <w:p w14:paraId="38217896">
      <w:pPr>
        <w:pStyle w:val="59"/>
      </w:pPr>
    </w:p>
    <w:p w14:paraId="39A82688">
      <w:pPr>
        <w:numPr>
          <w:ilvl w:val="0"/>
          <w:numId w:val="2"/>
        </w:numPr>
        <w:tabs>
          <w:tab w:val="left" w:pos="284"/>
          <w:tab w:val="left" w:pos="426"/>
        </w:tabs>
        <w:spacing w:line="360" w:lineRule="auto"/>
        <w:rPr>
          <w:rFonts w:ascii="仿宋" w:hAnsi="仿宋" w:eastAsia="仿宋"/>
          <w:sz w:val="24"/>
          <w:szCs w:val="21"/>
        </w:rPr>
      </w:pPr>
      <w:r>
        <w:rPr>
          <w:rFonts w:hint="eastAsia" w:ascii="仿宋" w:hAnsi="仿宋" w:eastAsia="仿宋"/>
          <w:sz w:val="24"/>
          <w:szCs w:val="21"/>
        </w:rPr>
        <w:t>分公司参与</w:t>
      </w:r>
      <w:r>
        <w:rPr>
          <w:rFonts w:hint="eastAsia" w:ascii="仿宋" w:hAnsi="仿宋" w:eastAsia="仿宋"/>
          <w:sz w:val="24"/>
          <w:szCs w:val="21"/>
          <w:lang w:eastAsia="zh-CN"/>
        </w:rPr>
        <w:t>响应</w:t>
      </w:r>
      <w:r>
        <w:rPr>
          <w:rFonts w:hint="eastAsia" w:ascii="仿宋" w:hAnsi="仿宋" w:eastAsia="仿宋"/>
          <w:sz w:val="24"/>
          <w:szCs w:val="21"/>
        </w:rPr>
        <w:t>的，需提供具有法人资格的总公司的营业执照副本复印件及授权书。总公司可就本项目或此类项目在一定范围或时间内出具唯一的授权书。</w:t>
      </w:r>
      <w:r>
        <w:rPr>
          <w:rFonts w:hint="eastAsia" w:ascii="仿宋" w:hAnsi="仿宋" w:eastAsia="仿宋"/>
          <w:sz w:val="24"/>
          <w:szCs w:val="21"/>
          <w:lang w:eastAsia="zh-CN"/>
        </w:rPr>
        <w:t>响应供应商</w:t>
      </w:r>
      <w:r>
        <w:rPr>
          <w:rFonts w:hint="eastAsia" w:ascii="仿宋" w:hAnsi="仿宋" w:eastAsia="仿宋"/>
          <w:sz w:val="24"/>
          <w:szCs w:val="21"/>
        </w:rPr>
        <w:t>如需对项目提出询问或质疑，应按</w:t>
      </w:r>
      <w:r>
        <w:rPr>
          <w:rFonts w:hint="eastAsia" w:ascii="仿宋" w:hAnsi="仿宋" w:eastAsia="仿宋"/>
          <w:sz w:val="24"/>
          <w:szCs w:val="21"/>
          <w:lang w:eastAsia="zh-CN"/>
        </w:rPr>
        <w:t>遴选文件</w:t>
      </w:r>
      <w:r>
        <w:rPr>
          <w:rFonts w:hint="eastAsia" w:ascii="仿宋" w:hAnsi="仿宋" w:eastAsia="仿宋"/>
          <w:sz w:val="24"/>
          <w:szCs w:val="21"/>
        </w:rPr>
        <w:t>中询问函或质疑函的要求进行提交。如</w:t>
      </w:r>
      <w:r>
        <w:rPr>
          <w:rFonts w:hint="eastAsia" w:ascii="仿宋" w:hAnsi="仿宋" w:eastAsia="仿宋"/>
          <w:sz w:val="24"/>
          <w:szCs w:val="21"/>
          <w:lang w:eastAsia="zh-CN"/>
        </w:rPr>
        <w:t>响应</w:t>
      </w:r>
      <w:r>
        <w:rPr>
          <w:rFonts w:hint="eastAsia" w:ascii="仿宋" w:hAnsi="仿宋" w:eastAsia="仿宋"/>
          <w:sz w:val="24"/>
          <w:szCs w:val="21"/>
        </w:rPr>
        <w:t>产品属于许可证管理范围内的，须提交相应的许可证复印件。</w:t>
      </w:r>
    </w:p>
    <w:p w14:paraId="0649659C">
      <w:pPr>
        <w:pStyle w:val="59"/>
      </w:pPr>
    </w:p>
    <w:p w14:paraId="6D25FBE2">
      <w:pPr>
        <w:numPr>
          <w:ilvl w:val="0"/>
          <w:numId w:val="2"/>
        </w:numPr>
        <w:tabs>
          <w:tab w:val="left" w:pos="284"/>
        </w:tabs>
        <w:spacing w:line="360" w:lineRule="auto"/>
        <w:rPr>
          <w:rFonts w:ascii="仿宋" w:hAnsi="仿宋" w:eastAsia="仿宋" w:cs="宋体"/>
          <w:sz w:val="24"/>
        </w:rPr>
      </w:pPr>
      <w:r>
        <w:rPr>
          <w:rFonts w:hint="eastAsia" w:ascii="仿宋" w:hAnsi="仿宋" w:eastAsia="仿宋" w:cs="宋体"/>
          <w:sz w:val="24"/>
        </w:rPr>
        <w:t>我司不对</w:t>
      </w:r>
      <w:r>
        <w:rPr>
          <w:rFonts w:hint="eastAsia" w:ascii="仿宋" w:hAnsi="仿宋" w:eastAsia="仿宋" w:cs="宋体"/>
          <w:sz w:val="24"/>
          <w:lang w:eastAsia="zh-CN"/>
        </w:rPr>
        <w:t>响应供应商</w:t>
      </w:r>
      <w:r>
        <w:rPr>
          <w:rFonts w:hint="eastAsia" w:ascii="仿宋" w:hAnsi="仿宋" w:eastAsia="仿宋" w:cs="宋体"/>
          <w:sz w:val="24"/>
        </w:rPr>
        <w:t>购买</w:t>
      </w:r>
      <w:r>
        <w:rPr>
          <w:rFonts w:hint="eastAsia" w:ascii="仿宋" w:hAnsi="仿宋" w:eastAsia="仿宋" w:cs="宋体"/>
          <w:sz w:val="24"/>
          <w:lang w:eastAsia="zh-CN"/>
        </w:rPr>
        <w:t>遴选文件</w:t>
      </w:r>
      <w:r>
        <w:rPr>
          <w:rFonts w:hint="eastAsia" w:ascii="仿宋" w:hAnsi="仿宋" w:eastAsia="仿宋" w:cs="宋体"/>
          <w:sz w:val="24"/>
        </w:rPr>
        <w:t>时提交的相关资料的真伪做出判断，如</w:t>
      </w:r>
      <w:r>
        <w:rPr>
          <w:rFonts w:hint="eastAsia" w:ascii="仿宋" w:hAnsi="仿宋" w:eastAsia="仿宋" w:cs="宋体"/>
          <w:sz w:val="24"/>
          <w:lang w:eastAsia="zh-CN"/>
        </w:rPr>
        <w:t>响应供应商</w:t>
      </w:r>
      <w:r>
        <w:rPr>
          <w:rFonts w:hint="eastAsia" w:ascii="仿宋" w:hAnsi="仿宋" w:eastAsia="仿宋" w:cs="宋体"/>
          <w:sz w:val="24"/>
        </w:rPr>
        <w:t>发现相关资料被盗用或复制，建议遵循法律途径解决，追究侵权者责任。对一家</w:t>
      </w:r>
      <w:r>
        <w:rPr>
          <w:rFonts w:hint="eastAsia" w:ascii="仿宋" w:hAnsi="仿宋" w:eastAsia="仿宋" w:cs="宋体"/>
          <w:sz w:val="24"/>
          <w:lang w:eastAsia="zh-CN"/>
        </w:rPr>
        <w:t>响应供应商</w:t>
      </w:r>
      <w:r>
        <w:rPr>
          <w:rFonts w:hint="eastAsia" w:ascii="仿宋" w:hAnsi="仿宋" w:eastAsia="仿宋" w:cs="宋体"/>
          <w:sz w:val="24"/>
        </w:rPr>
        <w:t>提交两份不同响应</w:t>
      </w:r>
      <w:r>
        <w:rPr>
          <w:rFonts w:hint="eastAsia" w:ascii="仿宋" w:hAnsi="仿宋" w:eastAsia="仿宋" w:cs="宋体"/>
          <w:sz w:val="24"/>
          <w:lang w:eastAsia="zh-CN"/>
        </w:rPr>
        <w:t>响应</w:t>
      </w:r>
      <w:r>
        <w:rPr>
          <w:rFonts w:hint="eastAsia" w:ascii="仿宋" w:hAnsi="仿宋" w:eastAsia="仿宋" w:cs="宋体"/>
          <w:sz w:val="24"/>
        </w:rPr>
        <w:t>方案的，评审小组将按</w:t>
      </w:r>
      <w:r>
        <w:rPr>
          <w:rFonts w:hint="eastAsia" w:ascii="仿宋" w:hAnsi="仿宋" w:eastAsia="仿宋" w:cs="宋体"/>
          <w:sz w:val="24"/>
          <w:lang w:eastAsia="zh-CN"/>
        </w:rPr>
        <w:t>遴选文件</w:t>
      </w:r>
      <w:r>
        <w:rPr>
          <w:rFonts w:hint="eastAsia" w:ascii="仿宋" w:hAnsi="仿宋" w:eastAsia="仿宋" w:cs="宋体"/>
          <w:sz w:val="24"/>
        </w:rPr>
        <w:t>中有关</w:t>
      </w:r>
      <w:r>
        <w:rPr>
          <w:rFonts w:hint="eastAsia" w:ascii="仿宋" w:hAnsi="仿宋" w:eastAsia="仿宋" w:cs="宋体"/>
          <w:sz w:val="24"/>
          <w:shd w:val="clear" w:color="auto" w:fill="FFFFFF"/>
          <w:lang w:eastAsia="zh-CN"/>
        </w:rPr>
        <w:t>响应文件</w:t>
      </w:r>
      <w:r>
        <w:rPr>
          <w:rFonts w:hint="eastAsia" w:ascii="仿宋" w:hAnsi="仿宋" w:eastAsia="仿宋" w:cs="宋体"/>
          <w:sz w:val="24"/>
          <w:shd w:val="clear" w:color="auto" w:fill="FFFFFF"/>
        </w:rPr>
        <w:t>无效的规定</w:t>
      </w:r>
      <w:r>
        <w:rPr>
          <w:rFonts w:hint="eastAsia" w:ascii="仿宋" w:hAnsi="仿宋" w:eastAsia="仿宋" w:cs="宋体"/>
          <w:sz w:val="24"/>
        </w:rPr>
        <w:t>处理</w:t>
      </w:r>
      <w:r>
        <w:rPr>
          <w:rFonts w:hint="eastAsia" w:ascii="仿宋" w:hAnsi="仿宋" w:eastAsia="仿宋" w:cs="宋体"/>
          <w:sz w:val="24"/>
          <w:szCs w:val="21"/>
        </w:rPr>
        <w:t>（如有特殊要求的除外）</w:t>
      </w:r>
      <w:r>
        <w:rPr>
          <w:rFonts w:hint="eastAsia" w:ascii="仿宋" w:hAnsi="仿宋" w:eastAsia="仿宋" w:cs="宋体"/>
          <w:sz w:val="24"/>
        </w:rPr>
        <w:t>。</w:t>
      </w:r>
    </w:p>
    <w:p w14:paraId="13B8ABDF">
      <w:pPr>
        <w:widowControl/>
        <w:jc w:val="left"/>
        <w:rPr>
          <w:rFonts w:ascii="Calibri" w:hAnsi="Calibri"/>
          <w:szCs w:val="22"/>
        </w:rPr>
      </w:pPr>
      <w:r>
        <w:br w:type="page"/>
      </w:r>
    </w:p>
    <w:sdt>
      <w:sdtPr>
        <w:rPr>
          <w:rFonts w:ascii="宋体" w:hAnsi="宋体" w:eastAsia="宋体" w:cs="Times New Roman"/>
          <w:kern w:val="2"/>
          <w:sz w:val="21"/>
          <w:lang w:val="en-US" w:eastAsia="zh-CN" w:bidi="ar-SA"/>
        </w:rPr>
        <w:id w:val="147458064"/>
        <w15:color w:val="DBDBDB"/>
        <w:docPartObj>
          <w:docPartGallery w:val="Table of Contents"/>
          <w:docPartUnique/>
        </w:docPartObj>
      </w:sdtPr>
      <w:sdtEndPr>
        <w:rPr>
          <w:rFonts w:ascii="Times New Roman" w:hAnsi="Times New Roman" w:eastAsia="宋体" w:cs="Times New Roman"/>
          <w:kern w:val="2"/>
          <w:sz w:val="16"/>
          <w:szCs w:val="16"/>
          <w:lang w:val="en-US" w:eastAsia="zh-CN" w:bidi="ar-SA"/>
        </w:rPr>
      </w:sdtEndPr>
      <w:sdtContent>
        <w:p w14:paraId="271D743E">
          <w:pPr>
            <w:spacing w:before="0" w:beforeLines="0" w:after="0" w:afterLines="0" w:line="360" w:lineRule="auto"/>
            <w:ind w:left="0" w:leftChars="0" w:right="0" w:rightChars="0" w:firstLine="0" w:firstLineChars="0"/>
            <w:jc w:val="center"/>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目录</w:t>
          </w:r>
        </w:p>
        <w:p w14:paraId="640DBBC8">
          <w:pPr>
            <w:pStyle w:val="32"/>
            <w:tabs>
              <w:tab w:val="right" w:leader="dot" w:pos="9746"/>
            </w:tabs>
            <w:spacing w:line="360" w:lineRule="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kern w:val="2"/>
              <w:sz w:val="24"/>
              <w:szCs w:val="24"/>
              <w:lang w:val="en-US" w:eastAsia="zh-CN" w:bidi="ar-SA"/>
            </w:rPr>
            <w:fldChar w:fldCharType="begin"/>
          </w:r>
          <w:r>
            <w:rPr>
              <w:rFonts w:hint="eastAsia" w:asciiTheme="minorEastAsia" w:hAnsiTheme="minorEastAsia" w:eastAsiaTheme="minorEastAsia" w:cstheme="minorEastAsia"/>
              <w:i w:val="0"/>
              <w:iCs w:val="0"/>
              <w:kern w:val="2"/>
              <w:sz w:val="24"/>
              <w:szCs w:val="24"/>
              <w:lang w:val="en-US" w:eastAsia="zh-CN" w:bidi="ar-SA"/>
            </w:rPr>
            <w:instrText xml:space="preserve">TOC \o "1-3" \h \u </w:instrText>
          </w:r>
          <w:r>
            <w:rPr>
              <w:rFonts w:hint="eastAsia" w:asciiTheme="minorEastAsia" w:hAnsiTheme="minorEastAsia" w:eastAsiaTheme="minorEastAsia" w:cstheme="minorEastAsia"/>
              <w:i w:val="0"/>
              <w:iCs w:val="0"/>
              <w:kern w:val="2"/>
              <w:sz w:val="24"/>
              <w:szCs w:val="24"/>
              <w:lang w:val="en-US" w:eastAsia="zh-CN" w:bidi="ar-SA"/>
            </w:rPr>
            <w:fldChar w:fldCharType="separate"/>
          </w:r>
          <w:r>
            <w:rPr>
              <w:rFonts w:hint="eastAsia" w:asciiTheme="minorEastAsia" w:hAnsiTheme="minorEastAsia" w:eastAsiaTheme="minorEastAsia" w:cstheme="minorEastAsia"/>
              <w:i w:val="0"/>
              <w:iCs w:val="0"/>
              <w:kern w:val="2"/>
              <w:sz w:val="24"/>
              <w:szCs w:val="24"/>
              <w:lang w:val="en-US" w:eastAsia="zh-CN" w:bidi="ar-SA"/>
            </w:rPr>
            <w:fldChar w:fldCharType="begin"/>
          </w:r>
          <w:r>
            <w:rPr>
              <w:rFonts w:hint="eastAsia" w:asciiTheme="minorEastAsia" w:hAnsiTheme="minorEastAsia" w:eastAsiaTheme="minorEastAsia" w:cstheme="minorEastAsia"/>
              <w:i w:val="0"/>
              <w:iCs w:val="0"/>
              <w:kern w:val="2"/>
              <w:sz w:val="24"/>
              <w:szCs w:val="24"/>
              <w:lang w:val="en-US" w:eastAsia="zh-CN" w:bidi="ar-SA"/>
            </w:rPr>
            <w:instrText xml:space="preserve"> HYPERLINK \l _Toc16160 </w:instrText>
          </w:r>
          <w:r>
            <w:rPr>
              <w:rFonts w:hint="eastAsia" w:asciiTheme="minorEastAsia" w:hAnsiTheme="minorEastAsia" w:eastAsiaTheme="minorEastAsia" w:cstheme="minorEastAsia"/>
              <w:i w:val="0"/>
              <w:iCs w:val="0"/>
              <w:kern w:val="2"/>
              <w:sz w:val="24"/>
              <w:szCs w:val="24"/>
              <w:lang w:val="en-US" w:eastAsia="zh-CN" w:bidi="ar-SA"/>
            </w:rPr>
            <w:fldChar w:fldCharType="separate"/>
          </w:r>
          <w:r>
            <w:rPr>
              <w:rFonts w:hint="eastAsia" w:asciiTheme="minorEastAsia" w:hAnsiTheme="minorEastAsia" w:eastAsiaTheme="minorEastAsia" w:cstheme="minorEastAsia"/>
              <w:i w:val="0"/>
              <w:iCs w:val="0"/>
              <w:sz w:val="24"/>
              <w:szCs w:val="24"/>
            </w:rPr>
            <w:t>第一章 采购邀请</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_Toc16160 \h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1</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kern w:val="2"/>
              <w:sz w:val="24"/>
              <w:szCs w:val="24"/>
              <w:lang w:val="en-US" w:eastAsia="zh-CN" w:bidi="ar-SA"/>
            </w:rPr>
            <w:fldChar w:fldCharType="end"/>
          </w:r>
        </w:p>
        <w:p w14:paraId="17087AFD">
          <w:pPr>
            <w:pStyle w:val="32"/>
            <w:tabs>
              <w:tab w:val="right" w:leader="dot" w:pos="9746"/>
            </w:tabs>
            <w:spacing w:line="360" w:lineRule="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kern w:val="2"/>
              <w:sz w:val="24"/>
              <w:szCs w:val="24"/>
              <w:lang w:val="en-US" w:eastAsia="zh-CN" w:bidi="ar-SA"/>
            </w:rPr>
            <w:fldChar w:fldCharType="begin"/>
          </w:r>
          <w:r>
            <w:rPr>
              <w:rFonts w:hint="eastAsia" w:asciiTheme="minorEastAsia" w:hAnsiTheme="minorEastAsia" w:eastAsiaTheme="minorEastAsia" w:cstheme="minorEastAsia"/>
              <w:i w:val="0"/>
              <w:iCs w:val="0"/>
              <w:kern w:val="2"/>
              <w:sz w:val="24"/>
              <w:szCs w:val="24"/>
              <w:lang w:val="en-US" w:eastAsia="zh-CN" w:bidi="ar-SA"/>
            </w:rPr>
            <w:instrText xml:space="preserve"> HYPERLINK \l _Toc15280 </w:instrText>
          </w:r>
          <w:r>
            <w:rPr>
              <w:rFonts w:hint="eastAsia" w:asciiTheme="minorEastAsia" w:hAnsiTheme="minorEastAsia" w:eastAsiaTheme="minorEastAsia" w:cstheme="minorEastAsia"/>
              <w:i w:val="0"/>
              <w:iCs w:val="0"/>
              <w:kern w:val="2"/>
              <w:sz w:val="24"/>
              <w:szCs w:val="24"/>
              <w:lang w:val="en-US" w:eastAsia="zh-CN" w:bidi="ar-SA"/>
            </w:rPr>
            <w:fldChar w:fldCharType="separate"/>
          </w:r>
          <w:r>
            <w:rPr>
              <w:rFonts w:hint="eastAsia" w:asciiTheme="minorEastAsia" w:hAnsiTheme="minorEastAsia" w:eastAsiaTheme="minorEastAsia" w:cstheme="minorEastAsia"/>
              <w:i w:val="0"/>
              <w:iCs w:val="0"/>
              <w:sz w:val="24"/>
              <w:szCs w:val="24"/>
            </w:rPr>
            <w:t>第二章 采购需求书</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_Toc15280 \h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4</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kern w:val="2"/>
              <w:sz w:val="24"/>
              <w:szCs w:val="24"/>
              <w:lang w:val="en-US" w:eastAsia="zh-CN" w:bidi="ar-SA"/>
            </w:rPr>
            <w:fldChar w:fldCharType="end"/>
          </w:r>
        </w:p>
        <w:p w14:paraId="63B59ADD">
          <w:pPr>
            <w:pStyle w:val="32"/>
            <w:tabs>
              <w:tab w:val="right" w:leader="dot" w:pos="9746"/>
            </w:tabs>
            <w:spacing w:line="360" w:lineRule="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kern w:val="2"/>
              <w:sz w:val="24"/>
              <w:szCs w:val="24"/>
              <w:lang w:val="en-US" w:eastAsia="zh-CN" w:bidi="ar-SA"/>
            </w:rPr>
            <w:fldChar w:fldCharType="begin"/>
          </w:r>
          <w:r>
            <w:rPr>
              <w:rFonts w:hint="eastAsia" w:asciiTheme="minorEastAsia" w:hAnsiTheme="minorEastAsia" w:eastAsiaTheme="minorEastAsia" w:cstheme="minorEastAsia"/>
              <w:i w:val="0"/>
              <w:iCs w:val="0"/>
              <w:kern w:val="2"/>
              <w:sz w:val="24"/>
              <w:szCs w:val="24"/>
              <w:lang w:val="en-US" w:eastAsia="zh-CN" w:bidi="ar-SA"/>
            </w:rPr>
            <w:instrText xml:space="preserve"> HYPERLINK \l _Toc21051 </w:instrText>
          </w:r>
          <w:r>
            <w:rPr>
              <w:rFonts w:hint="eastAsia" w:asciiTheme="minorEastAsia" w:hAnsiTheme="minorEastAsia" w:eastAsiaTheme="minorEastAsia" w:cstheme="minorEastAsia"/>
              <w:i w:val="0"/>
              <w:iCs w:val="0"/>
              <w:kern w:val="2"/>
              <w:sz w:val="24"/>
              <w:szCs w:val="24"/>
              <w:lang w:val="en-US" w:eastAsia="zh-CN" w:bidi="ar-SA"/>
            </w:rPr>
            <w:fldChar w:fldCharType="separate"/>
          </w:r>
          <w:r>
            <w:rPr>
              <w:rFonts w:hint="eastAsia" w:asciiTheme="minorEastAsia" w:hAnsiTheme="minorEastAsia" w:eastAsiaTheme="minorEastAsia" w:cstheme="minorEastAsia"/>
              <w:i w:val="0"/>
              <w:iCs w:val="0"/>
              <w:sz w:val="24"/>
              <w:szCs w:val="24"/>
            </w:rPr>
            <w:t>第三章 合同（样本）</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_Toc21051 \h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11</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kern w:val="2"/>
              <w:sz w:val="24"/>
              <w:szCs w:val="24"/>
              <w:lang w:val="en-US" w:eastAsia="zh-CN" w:bidi="ar-SA"/>
            </w:rPr>
            <w:fldChar w:fldCharType="end"/>
          </w:r>
        </w:p>
        <w:p w14:paraId="13D76F62">
          <w:pPr>
            <w:pStyle w:val="32"/>
            <w:tabs>
              <w:tab w:val="right" w:leader="dot" w:pos="9746"/>
            </w:tabs>
            <w:spacing w:line="360" w:lineRule="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kern w:val="2"/>
              <w:sz w:val="24"/>
              <w:szCs w:val="24"/>
              <w:lang w:val="en-US" w:eastAsia="zh-CN" w:bidi="ar-SA"/>
            </w:rPr>
            <w:fldChar w:fldCharType="begin"/>
          </w:r>
          <w:r>
            <w:rPr>
              <w:rFonts w:hint="eastAsia" w:asciiTheme="minorEastAsia" w:hAnsiTheme="minorEastAsia" w:eastAsiaTheme="minorEastAsia" w:cstheme="minorEastAsia"/>
              <w:i w:val="0"/>
              <w:iCs w:val="0"/>
              <w:kern w:val="2"/>
              <w:sz w:val="24"/>
              <w:szCs w:val="24"/>
              <w:lang w:val="en-US" w:eastAsia="zh-CN" w:bidi="ar-SA"/>
            </w:rPr>
            <w:instrText xml:space="preserve"> HYPERLINK \l _Toc16153 </w:instrText>
          </w:r>
          <w:r>
            <w:rPr>
              <w:rFonts w:hint="eastAsia" w:asciiTheme="minorEastAsia" w:hAnsiTheme="minorEastAsia" w:eastAsiaTheme="minorEastAsia" w:cstheme="minorEastAsia"/>
              <w:i w:val="0"/>
              <w:iCs w:val="0"/>
              <w:kern w:val="2"/>
              <w:sz w:val="24"/>
              <w:szCs w:val="24"/>
              <w:lang w:val="en-US" w:eastAsia="zh-CN" w:bidi="ar-SA"/>
            </w:rPr>
            <w:fldChar w:fldCharType="separate"/>
          </w:r>
          <w:r>
            <w:rPr>
              <w:rFonts w:hint="eastAsia" w:asciiTheme="minorEastAsia" w:hAnsiTheme="minorEastAsia" w:eastAsiaTheme="minorEastAsia" w:cstheme="minorEastAsia"/>
              <w:i w:val="0"/>
              <w:iCs w:val="0"/>
              <w:sz w:val="24"/>
              <w:szCs w:val="24"/>
            </w:rPr>
            <w:t>第四章 响应须知</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_Toc16153 \h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12</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kern w:val="2"/>
              <w:sz w:val="24"/>
              <w:szCs w:val="24"/>
              <w:lang w:val="en-US" w:eastAsia="zh-CN" w:bidi="ar-SA"/>
            </w:rPr>
            <w:fldChar w:fldCharType="end"/>
          </w:r>
        </w:p>
        <w:p w14:paraId="795EA0B8">
          <w:pPr>
            <w:pStyle w:val="32"/>
            <w:tabs>
              <w:tab w:val="right" w:leader="dot" w:pos="9746"/>
            </w:tabs>
            <w:spacing w:line="360" w:lineRule="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kern w:val="2"/>
              <w:sz w:val="24"/>
              <w:szCs w:val="24"/>
              <w:lang w:val="en-US" w:eastAsia="zh-CN" w:bidi="ar-SA"/>
            </w:rPr>
            <w:fldChar w:fldCharType="begin"/>
          </w:r>
          <w:r>
            <w:rPr>
              <w:rFonts w:hint="eastAsia" w:asciiTheme="minorEastAsia" w:hAnsiTheme="minorEastAsia" w:eastAsiaTheme="minorEastAsia" w:cstheme="minorEastAsia"/>
              <w:i w:val="0"/>
              <w:iCs w:val="0"/>
              <w:kern w:val="2"/>
              <w:sz w:val="24"/>
              <w:szCs w:val="24"/>
              <w:lang w:val="en-US" w:eastAsia="zh-CN" w:bidi="ar-SA"/>
            </w:rPr>
            <w:instrText xml:space="preserve"> HYPERLINK \l _Toc7875 </w:instrText>
          </w:r>
          <w:r>
            <w:rPr>
              <w:rFonts w:hint="eastAsia" w:asciiTheme="minorEastAsia" w:hAnsiTheme="minorEastAsia" w:eastAsiaTheme="minorEastAsia" w:cstheme="minorEastAsia"/>
              <w:i w:val="0"/>
              <w:iCs w:val="0"/>
              <w:kern w:val="2"/>
              <w:sz w:val="24"/>
              <w:szCs w:val="24"/>
              <w:lang w:val="en-US" w:eastAsia="zh-CN" w:bidi="ar-SA"/>
            </w:rPr>
            <w:fldChar w:fldCharType="separate"/>
          </w:r>
          <w:r>
            <w:rPr>
              <w:rFonts w:hint="eastAsia" w:asciiTheme="minorEastAsia" w:hAnsiTheme="minorEastAsia" w:eastAsiaTheme="minorEastAsia" w:cstheme="minorEastAsia"/>
              <w:i w:val="0"/>
              <w:iCs w:val="0"/>
              <w:sz w:val="24"/>
              <w:szCs w:val="24"/>
            </w:rPr>
            <w:t xml:space="preserve">第五章 </w:t>
          </w:r>
          <w:r>
            <w:rPr>
              <w:rFonts w:hint="eastAsia" w:asciiTheme="minorEastAsia" w:hAnsiTheme="minorEastAsia" w:eastAsiaTheme="minorEastAsia" w:cstheme="minorEastAsia"/>
              <w:i w:val="0"/>
              <w:iCs w:val="0"/>
              <w:sz w:val="24"/>
              <w:szCs w:val="24"/>
              <w:lang w:eastAsia="zh-CN"/>
            </w:rPr>
            <w:t>唱价</w:t>
          </w:r>
          <w:r>
            <w:rPr>
              <w:rFonts w:hint="eastAsia" w:asciiTheme="minorEastAsia" w:hAnsiTheme="minorEastAsia" w:eastAsiaTheme="minorEastAsia" w:cstheme="minorEastAsia"/>
              <w:i w:val="0"/>
              <w:iCs w:val="0"/>
              <w:sz w:val="24"/>
              <w:szCs w:val="24"/>
            </w:rPr>
            <w:t>与</w:t>
          </w:r>
          <w:r>
            <w:rPr>
              <w:rFonts w:hint="eastAsia" w:asciiTheme="minorEastAsia" w:hAnsiTheme="minorEastAsia" w:eastAsiaTheme="minorEastAsia" w:cstheme="minorEastAsia"/>
              <w:i w:val="0"/>
              <w:iCs w:val="0"/>
              <w:sz w:val="24"/>
              <w:szCs w:val="24"/>
              <w:lang w:eastAsia="zh-CN"/>
            </w:rPr>
            <w:t>评审</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_Toc7875 \h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17</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kern w:val="2"/>
              <w:sz w:val="24"/>
              <w:szCs w:val="24"/>
              <w:lang w:val="en-US" w:eastAsia="zh-CN" w:bidi="ar-SA"/>
            </w:rPr>
            <w:fldChar w:fldCharType="end"/>
          </w:r>
        </w:p>
        <w:p w14:paraId="3ACE11D7">
          <w:pPr>
            <w:pStyle w:val="40"/>
            <w:tabs>
              <w:tab w:val="right" w:leader="dot" w:pos="9746"/>
            </w:tabs>
            <w:spacing w:line="360" w:lineRule="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kern w:val="2"/>
              <w:sz w:val="24"/>
              <w:szCs w:val="24"/>
              <w:lang w:val="en-US" w:eastAsia="zh-CN" w:bidi="ar-SA"/>
            </w:rPr>
            <w:fldChar w:fldCharType="begin"/>
          </w:r>
          <w:r>
            <w:rPr>
              <w:rFonts w:hint="eastAsia" w:asciiTheme="minorEastAsia" w:hAnsiTheme="minorEastAsia" w:eastAsiaTheme="minorEastAsia" w:cstheme="minorEastAsia"/>
              <w:i w:val="0"/>
              <w:iCs w:val="0"/>
              <w:kern w:val="2"/>
              <w:sz w:val="24"/>
              <w:szCs w:val="24"/>
              <w:lang w:val="en-US" w:eastAsia="zh-CN" w:bidi="ar-SA"/>
            </w:rPr>
            <w:instrText xml:space="preserve"> HYPERLINK \l _Toc32167 </w:instrText>
          </w:r>
          <w:r>
            <w:rPr>
              <w:rFonts w:hint="eastAsia" w:asciiTheme="minorEastAsia" w:hAnsiTheme="minorEastAsia" w:eastAsiaTheme="minorEastAsia" w:cstheme="minorEastAsia"/>
              <w:i w:val="0"/>
              <w:iCs w:val="0"/>
              <w:kern w:val="2"/>
              <w:sz w:val="24"/>
              <w:szCs w:val="24"/>
              <w:lang w:val="en-US" w:eastAsia="zh-CN" w:bidi="ar-SA"/>
            </w:rPr>
            <w:fldChar w:fldCharType="separate"/>
          </w:r>
          <w:r>
            <w:rPr>
              <w:rFonts w:hint="eastAsia" w:asciiTheme="minorEastAsia" w:hAnsiTheme="minorEastAsia" w:eastAsiaTheme="minorEastAsia" w:cstheme="minorEastAsia"/>
              <w:i w:val="0"/>
              <w:iCs w:val="0"/>
              <w:sz w:val="24"/>
              <w:szCs w:val="24"/>
            </w:rPr>
            <w:t>附表1 资格性、符合性审查表</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_Toc32167 \h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21</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kern w:val="2"/>
              <w:sz w:val="24"/>
              <w:szCs w:val="24"/>
              <w:lang w:val="en-US" w:eastAsia="zh-CN" w:bidi="ar-SA"/>
            </w:rPr>
            <w:fldChar w:fldCharType="end"/>
          </w:r>
        </w:p>
        <w:p w14:paraId="51E78E88">
          <w:pPr>
            <w:pStyle w:val="40"/>
            <w:tabs>
              <w:tab w:val="right" w:leader="dot" w:pos="9746"/>
            </w:tabs>
            <w:spacing w:line="360" w:lineRule="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kern w:val="2"/>
              <w:sz w:val="24"/>
              <w:szCs w:val="24"/>
              <w:lang w:val="en-US" w:eastAsia="zh-CN" w:bidi="ar-SA"/>
            </w:rPr>
            <w:fldChar w:fldCharType="begin"/>
          </w:r>
          <w:r>
            <w:rPr>
              <w:rFonts w:hint="eastAsia" w:asciiTheme="minorEastAsia" w:hAnsiTheme="minorEastAsia" w:eastAsiaTheme="minorEastAsia" w:cstheme="minorEastAsia"/>
              <w:i w:val="0"/>
              <w:iCs w:val="0"/>
              <w:kern w:val="2"/>
              <w:sz w:val="24"/>
              <w:szCs w:val="24"/>
              <w:lang w:val="en-US" w:eastAsia="zh-CN" w:bidi="ar-SA"/>
            </w:rPr>
            <w:instrText xml:space="preserve"> HYPERLINK \l _Toc21827 </w:instrText>
          </w:r>
          <w:r>
            <w:rPr>
              <w:rFonts w:hint="eastAsia" w:asciiTheme="minorEastAsia" w:hAnsiTheme="minorEastAsia" w:eastAsiaTheme="minorEastAsia" w:cstheme="minorEastAsia"/>
              <w:i w:val="0"/>
              <w:iCs w:val="0"/>
              <w:kern w:val="2"/>
              <w:sz w:val="24"/>
              <w:szCs w:val="24"/>
              <w:lang w:val="en-US" w:eastAsia="zh-CN" w:bidi="ar-SA"/>
            </w:rPr>
            <w:fldChar w:fldCharType="separate"/>
          </w:r>
          <w:r>
            <w:rPr>
              <w:rFonts w:hint="eastAsia" w:asciiTheme="minorEastAsia" w:hAnsiTheme="minorEastAsia" w:eastAsiaTheme="minorEastAsia" w:cstheme="minorEastAsia"/>
              <w:i w:val="0"/>
              <w:iCs w:val="0"/>
              <w:sz w:val="24"/>
              <w:szCs w:val="24"/>
            </w:rPr>
            <w:t>附表2 技术响应性评审表</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_Toc21827 \h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22</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kern w:val="2"/>
              <w:sz w:val="24"/>
              <w:szCs w:val="24"/>
              <w:lang w:val="en-US" w:eastAsia="zh-CN" w:bidi="ar-SA"/>
            </w:rPr>
            <w:fldChar w:fldCharType="end"/>
          </w:r>
        </w:p>
        <w:p w14:paraId="6571CC56">
          <w:pPr>
            <w:pStyle w:val="40"/>
            <w:tabs>
              <w:tab w:val="right" w:leader="dot" w:pos="9746"/>
            </w:tabs>
            <w:spacing w:line="360" w:lineRule="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kern w:val="2"/>
              <w:sz w:val="24"/>
              <w:szCs w:val="24"/>
              <w:lang w:val="en-US" w:eastAsia="zh-CN" w:bidi="ar-SA"/>
            </w:rPr>
            <w:fldChar w:fldCharType="begin"/>
          </w:r>
          <w:r>
            <w:rPr>
              <w:rFonts w:hint="eastAsia" w:asciiTheme="minorEastAsia" w:hAnsiTheme="minorEastAsia" w:eastAsiaTheme="minorEastAsia" w:cstheme="minorEastAsia"/>
              <w:i w:val="0"/>
              <w:iCs w:val="0"/>
              <w:kern w:val="2"/>
              <w:sz w:val="24"/>
              <w:szCs w:val="24"/>
              <w:lang w:val="en-US" w:eastAsia="zh-CN" w:bidi="ar-SA"/>
            </w:rPr>
            <w:instrText xml:space="preserve"> HYPERLINK \l _Toc26568 </w:instrText>
          </w:r>
          <w:r>
            <w:rPr>
              <w:rFonts w:hint="eastAsia" w:asciiTheme="minorEastAsia" w:hAnsiTheme="minorEastAsia" w:eastAsiaTheme="minorEastAsia" w:cstheme="minorEastAsia"/>
              <w:i w:val="0"/>
              <w:iCs w:val="0"/>
              <w:kern w:val="2"/>
              <w:sz w:val="24"/>
              <w:szCs w:val="24"/>
              <w:lang w:val="en-US" w:eastAsia="zh-CN" w:bidi="ar-SA"/>
            </w:rPr>
            <w:fldChar w:fldCharType="separate"/>
          </w:r>
          <w:r>
            <w:rPr>
              <w:rFonts w:hint="eastAsia" w:asciiTheme="minorEastAsia" w:hAnsiTheme="minorEastAsia" w:eastAsiaTheme="minorEastAsia" w:cstheme="minorEastAsia"/>
              <w:i w:val="0"/>
              <w:iCs w:val="0"/>
              <w:sz w:val="24"/>
              <w:szCs w:val="24"/>
            </w:rPr>
            <w:t>附表3 商务响应性评审表</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_Toc26568 \h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24</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kern w:val="2"/>
              <w:sz w:val="24"/>
              <w:szCs w:val="24"/>
              <w:lang w:val="en-US" w:eastAsia="zh-CN" w:bidi="ar-SA"/>
            </w:rPr>
            <w:fldChar w:fldCharType="end"/>
          </w:r>
        </w:p>
        <w:p w14:paraId="5448588E">
          <w:pPr>
            <w:pStyle w:val="32"/>
            <w:tabs>
              <w:tab w:val="right" w:leader="dot" w:pos="9746"/>
            </w:tabs>
            <w:spacing w:line="360" w:lineRule="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kern w:val="2"/>
              <w:sz w:val="24"/>
              <w:szCs w:val="24"/>
              <w:lang w:val="en-US" w:eastAsia="zh-CN" w:bidi="ar-SA"/>
            </w:rPr>
            <w:fldChar w:fldCharType="begin"/>
          </w:r>
          <w:r>
            <w:rPr>
              <w:rFonts w:hint="eastAsia" w:asciiTheme="minorEastAsia" w:hAnsiTheme="minorEastAsia" w:eastAsiaTheme="minorEastAsia" w:cstheme="minorEastAsia"/>
              <w:i w:val="0"/>
              <w:iCs w:val="0"/>
              <w:kern w:val="2"/>
              <w:sz w:val="24"/>
              <w:szCs w:val="24"/>
              <w:lang w:val="en-US" w:eastAsia="zh-CN" w:bidi="ar-SA"/>
            </w:rPr>
            <w:instrText xml:space="preserve"> HYPERLINK \l _Toc16799 </w:instrText>
          </w:r>
          <w:r>
            <w:rPr>
              <w:rFonts w:hint="eastAsia" w:asciiTheme="minorEastAsia" w:hAnsiTheme="minorEastAsia" w:eastAsiaTheme="minorEastAsia" w:cstheme="minorEastAsia"/>
              <w:i w:val="0"/>
              <w:iCs w:val="0"/>
              <w:kern w:val="2"/>
              <w:sz w:val="24"/>
              <w:szCs w:val="24"/>
              <w:lang w:val="en-US" w:eastAsia="zh-CN" w:bidi="ar-SA"/>
            </w:rPr>
            <w:fldChar w:fldCharType="separate"/>
          </w:r>
          <w:r>
            <w:rPr>
              <w:rFonts w:hint="eastAsia" w:asciiTheme="minorEastAsia" w:hAnsiTheme="minorEastAsia" w:eastAsiaTheme="minorEastAsia" w:cstheme="minorEastAsia"/>
              <w:i w:val="0"/>
              <w:iCs w:val="0"/>
              <w:sz w:val="24"/>
              <w:szCs w:val="24"/>
            </w:rPr>
            <w:t xml:space="preserve">第六章 </w:t>
          </w:r>
          <w:r>
            <w:rPr>
              <w:rFonts w:hint="eastAsia" w:asciiTheme="minorEastAsia" w:hAnsiTheme="minorEastAsia" w:eastAsiaTheme="minorEastAsia" w:cstheme="minorEastAsia"/>
              <w:i w:val="0"/>
              <w:iCs w:val="0"/>
              <w:sz w:val="24"/>
              <w:szCs w:val="24"/>
              <w:lang w:eastAsia="zh-CN"/>
            </w:rPr>
            <w:t>响应文件</w:t>
          </w:r>
          <w:r>
            <w:rPr>
              <w:rFonts w:hint="eastAsia" w:asciiTheme="minorEastAsia" w:hAnsiTheme="minorEastAsia" w:eastAsiaTheme="minorEastAsia" w:cstheme="minorEastAsia"/>
              <w:i w:val="0"/>
              <w:iCs w:val="0"/>
              <w:sz w:val="24"/>
              <w:szCs w:val="24"/>
            </w:rPr>
            <w:t>格式</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_Toc16799 \h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25</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kern w:val="2"/>
              <w:sz w:val="24"/>
              <w:szCs w:val="24"/>
              <w:lang w:val="en-US" w:eastAsia="zh-CN" w:bidi="ar-SA"/>
            </w:rPr>
            <w:fldChar w:fldCharType="end"/>
          </w:r>
        </w:p>
        <w:p w14:paraId="64D1D71A">
          <w:pPr>
            <w:pStyle w:val="40"/>
            <w:tabs>
              <w:tab w:val="right" w:leader="dot" w:pos="9746"/>
            </w:tabs>
            <w:spacing w:line="360" w:lineRule="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kern w:val="2"/>
              <w:sz w:val="24"/>
              <w:szCs w:val="24"/>
              <w:lang w:val="en-US" w:eastAsia="zh-CN" w:bidi="ar-SA"/>
            </w:rPr>
            <w:fldChar w:fldCharType="begin"/>
          </w:r>
          <w:r>
            <w:rPr>
              <w:rFonts w:hint="eastAsia" w:asciiTheme="minorEastAsia" w:hAnsiTheme="minorEastAsia" w:eastAsiaTheme="minorEastAsia" w:cstheme="minorEastAsia"/>
              <w:i w:val="0"/>
              <w:iCs w:val="0"/>
              <w:kern w:val="2"/>
              <w:sz w:val="24"/>
              <w:szCs w:val="24"/>
              <w:lang w:val="en-US" w:eastAsia="zh-CN" w:bidi="ar-SA"/>
            </w:rPr>
            <w:instrText xml:space="preserve"> HYPERLINK \l _Toc10134 </w:instrText>
          </w:r>
          <w:r>
            <w:rPr>
              <w:rFonts w:hint="eastAsia" w:asciiTheme="minorEastAsia" w:hAnsiTheme="minorEastAsia" w:eastAsiaTheme="minorEastAsia" w:cstheme="minorEastAsia"/>
              <w:i w:val="0"/>
              <w:iCs w:val="0"/>
              <w:kern w:val="2"/>
              <w:sz w:val="24"/>
              <w:szCs w:val="24"/>
              <w:lang w:val="en-US" w:eastAsia="zh-CN" w:bidi="ar-SA"/>
            </w:rPr>
            <w:fldChar w:fldCharType="separate"/>
          </w:r>
          <w:r>
            <w:rPr>
              <w:rFonts w:hint="eastAsia" w:asciiTheme="minorEastAsia" w:hAnsiTheme="minorEastAsia" w:eastAsiaTheme="minorEastAsia" w:cstheme="minorEastAsia"/>
              <w:i w:val="0"/>
              <w:iCs w:val="0"/>
              <w:sz w:val="24"/>
              <w:szCs w:val="24"/>
            </w:rPr>
            <w:t>附件1 响应书</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_Toc10134 \h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25</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kern w:val="2"/>
              <w:sz w:val="24"/>
              <w:szCs w:val="24"/>
              <w:lang w:val="en-US" w:eastAsia="zh-CN" w:bidi="ar-SA"/>
            </w:rPr>
            <w:fldChar w:fldCharType="end"/>
          </w:r>
        </w:p>
        <w:p w14:paraId="728CE3A8">
          <w:pPr>
            <w:pStyle w:val="40"/>
            <w:tabs>
              <w:tab w:val="right" w:leader="dot" w:pos="9746"/>
            </w:tabs>
            <w:spacing w:line="360" w:lineRule="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kern w:val="2"/>
              <w:sz w:val="24"/>
              <w:szCs w:val="24"/>
              <w:lang w:val="en-US" w:eastAsia="zh-CN" w:bidi="ar-SA"/>
            </w:rPr>
            <w:fldChar w:fldCharType="begin"/>
          </w:r>
          <w:r>
            <w:rPr>
              <w:rFonts w:hint="eastAsia" w:asciiTheme="minorEastAsia" w:hAnsiTheme="minorEastAsia" w:eastAsiaTheme="minorEastAsia" w:cstheme="minorEastAsia"/>
              <w:i w:val="0"/>
              <w:iCs w:val="0"/>
              <w:kern w:val="2"/>
              <w:sz w:val="24"/>
              <w:szCs w:val="24"/>
              <w:lang w:val="en-US" w:eastAsia="zh-CN" w:bidi="ar-SA"/>
            </w:rPr>
            <w:instrText xml:space="preserve"> HYPERLINK \l _Toc25640 </w:instrText>
          </w:r>
          <w:r>
            <w:rPr>
              <w:rFonts w:hint="eastAsia" w:asciiTheme="minorEastAsia" w:hAnsiTheme="minorEastAsia" w:eastAsiaTheme="minorEastAsia" w:cstheme="minorEastAsia"/>
              <w:i w:val="0"/>
              <w:iCs w:val="0"/>
              <w:kern w:val="2"/>
              <w:sz w:val="24"/>
              <w:szCs w:val="24"/>
              <w:lang w:val="en-US" w:eastAsia="zh-CN" w:bidi="ar-SA"/>
            </w:rPr>
            <w:fldChar w:fldCharType="separate"/>
          </w:r>
          <w:r>
            <w:rPr>
              <w:rFonts w:hint="eastAsia" w:asciiTheme="minorEastAsia" w:hAnsiTheme="minorEastAsia" w:eastAsiaTheme="minorEastAsia" w:cstheme="minorEastAsia"/>
              <w:i w:val="0"/>
              <w:iCs w:val="0"/>
              <w:sz w:val="24"/>
              <w:szCs w:val="24"/>
            </w:rPr>
            <w:t xml:space="preserve">附件2 </w:t>
          </w:r>
          <w:r>
            <w:rPr>
              <w:rFonts w:hint="eastAsia" w:asciiTheme="minorEastAsia" w:hAnsiTheme="minorEastAsia" w:eastAsiaTheme="minorEastAsia" w:cstheme="minorEastAsia"/>
              <w:i w:val="0"/>
              <w:iCs w:val="0"/>
              <w:sz w:val="24"/>
              <w:szCs w:val="24"/>
              <w:lang w:eastAsia="zh-CN"/>
            </w:rPr>
            <w:t>响应供应商</w:t>
          </w:r>
          <w:r>
            <w:rPr>
              <w:rFonts w:hint="eastAsia" w:asciiTheme="minorEastAsia" w:hAnsiTheme="minorEastAsia" w:eastAsiaTheme="minorEastAsia" w:cstheme="minorEastAsia"/>
              <w:i w:val="0"/>
              <w:iCs w:val="0"/>
              <w:sz w:val="24"/>
              <w:szCs w:val="24"/>
            </w:rPr>
            <w:t>资格声明函</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_Toc25640 \h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26</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kern w:val="2"/>
              <w:sz w:val="24"/>
              <w:szCs w:val="24"/>
              <w:lang w:val="en-US" w:eastAsia="zh-CN" w:bidi="ar-SA"/>
            </w:rPr>
            <w:fldChar w:fldCharType="end"/>
          </w:r>
        </w:p>
        <w:p w14:paraId="45791FAF">
          <w:pPr>
            <w:pStyle w:val="24"/>
            <w:tabs>
              <w:tab w:val="right" w:leader="dot" w:pos="9746"/>
            </w:tabs>
            <w:spacing w:line="360" w:lineRule="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kern w:val="2"/>
              <w:sz w:val="24"/>
              <w:szCs w:val="24"/>
              <w:lang w:val="en-US" w:eastAsia="zh-CN" w:bidi="ar-SA"/>
            </w:rPr>
            <w:fldChar w:fldCharType="begin"/>
          </w:r>
          <w:r>
            <w:rPr>
              <w:rFonts w:hint="eastAsia" w:asciiTheme="minorEastAsia" w:hAnsiTheme="minorEastAsia" w:eastAsiaTheme="minorEastAsia" w:cstheme="minorEastAsia"/>
              <w:i w:val="0"/>
              <w:iCs w:val="0"/>
              <w:kern w:val="2"/>
              <w:sz w:val="24"/>
              <w:szCs w:val="24"/>
              <w:lang w:val="en-US" w:eastAsia="zh-CN" w:bidi="ar-SA"/>
            </w:rPr>
            <w:instrText xml:space="preserve"> HYPERLINK \l _Toc18492 </w:instrText>
          </w:r>
          <w:r>
            <w:rPr>
              <w:rFonts w:hint="eastAsia" w:asciiTheme="minorEastAsia" w:hAnsiTheme="minorEastAsia" w:eastAsiaTheme="minorEastAsia" w:cstheme="minorEastAsia"/>
              <w:i w:val="0"/>
              <w:iCs w:val="0"/>
              <w:kern w:val="2"/>
              <w:sz w:val="24"/>
              <w:szCs w:val="24"/>
              <w:lang w:val="en-US" w:eastAsia="zh-CN" w:bidi="ar-SA"/>
            </w:rPr>
            <w:fldChar w:fldCharType="separate"/>
          </w:r>
          <w:r>
            <w:rPr>
              <w:rFonts w:hint="eastAsia" w:asciiTheme="minorEastAsia" w:hAnsiTheme="minorEastAsia" w:eastAsiaTheme="minorEastAsia" w:cstheme="minorEastAsia"/>
              <w:i w:val="0"/>
              <w:iCs w:val="0"/>
              <w:sz w:val="24"/>
              <w:szCs w:val="24"/>
            </w:rPr>
            <w:t>附件2-1 营业执照</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_Toc18492 \h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27</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kern w:val="2"/>
              <w:sz w:val="24"/>
              <w:szCs w:val="24"/>
              <w:lang w:val="en-US" w:eastAsia="zh-CN" w:bidi="ar-SA"/>
            </w:rPr>
            <w:fldChar w:fldCharType="end"/>
          </w:r>
        </w:p>
        <w:p w14:paraId="657D4D59">
          <w:pPr>
            <w:pStyle w:val="24"/>
            <w:tabs>
              <w:tab w:val="right" w:leader="dot" w:pos="9746"/>
            </w:tabs>
            <w:spacing w:line="360" w:lineRule="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kern w:val="2"/>
              <w:sz w:val="24"/>
              <w:szCs w:val="24"/>
              <w:lang w:val="en-US" w:eastAsia="zh-CN" w:bidi="ar-SA"/>
            </w:rPr>
            <w:fldChar w:fldCharType="begin"/>
          </w:r>
          <w:r>
            <w:rPr>
              <w:rFonts w:hint="eastAsia" w:asciiTheme="minorEastAsia" w:hAnsiTheme="minorEastAsia" w:eastAsiaTheme="minorEastAsia" w:cstheme="minorEastAsia"/>
              <w:i w:val="0"/>
              <w:iCs w:val="0"/>
              <w:kern w:val="2"/>
              <w:sz w:val="24"/>
              <w:szCs w:val="24"/>
              <w:lang w:val="en-US" w:eastAsia="zh-CN" w:bidi="ar-SA"/>
            </w:rPr>
            <w:instrText xml:space="preserve"> HYPERLINK \l _Toc24340 </w:instrText>
          </w:r>
          <w:r>
            <w:rPr>
              <w:rFonts w:hint="eastAsia" w:asciiTheme="minorEastAsia" w:hAnsiTheme="minorEastAsia" w:eastAsiaTheme="minorEastAsia" w:cstheme="minorEastAsia"/>
              <w:i w:val="0"/>
              <w:iCs w:val="0"/>
              <w:kern w:val="2"/>
              <w:sz w:val="24"/>
              <w:szCs w:val="24"/>
              <w:lang w:val="en-US" w:eastAsia="zh-CN" w:bidi="ar-SA"/>
            </w:rPr>
            <w:fldChar w:fldCharType="separate"/>
          </w:r>
          <w:r>
            <w:rPr>
              <w:rFonts w:hint="eastAsia" w:asciiTheme="minorEastAsia" w:hAnsiTheme="minorEastAsia" w:eastAsiaTheme="minorEastAsia" w:cstheme="minorEastAsia"/>
              <w:i w:val="0"/>
              <w:iCs w:val="0"/>
              <w:sz w:val="24"/>
              <w:szCs w:val="24"/>
            </w:rPr>
            <w:t>附件2-2 信用信息</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_Toc24340 \h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27</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kern w:val="2"/>
              <w:sz w:val="24"/>
              <w:szCs w:val="24"/>
              <w:lang w:val="en-US" w:eastAsia="zh-CN" w:bidi="ar-SA"/>
            </w:rPr>
            <w:fldChar w:fldCharType="end"/>
          </w:r>
        </w:p>
        <w:p w14:paraId="5C02EFD9">
          <w:pPr>
            <w:pStyle w:val="24"/>
            <w:tabs>
              <w:tab w:val="right" w:leader="dot" w:pos="9746"/>
            </w:tabs>
            <w:spacing w:line="360" w:lineRule="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kern w:val="2"/>
              <w:sz w:val="24"/>
              <w:szCs w:val="24"/>
              <w:lang w:val="en-US" w:eastAsia="zh-CN" w:bidi="ar-SA"/>
            </w:rPr>
            <w:fldChar w:fldCharType="begin"/>
          </w:r>
          <w:r>
            <w:rPr>
              <w:rFonts w:hint="eastAsia" w:asciiTheme="minorEastAsia" w:hAnsiTheme="minorEastAsia" w:eastAsiaTheme="minorEastAsia" w:cstheme="minorEastAsia"/>
              <w:i w:val="0"/>
              <w:iCs w:val="0"/>
              <w:kern w:val="2"/>
              <w:sz w:val="24"/>
              <w:szCs w:val="24"/>
              <w:lang w:val="en-US" w:eastAsia="zh-CN" w:bidi="ar-SA"/>
            </w:rPr>
            <w:instrText xml:space="preserve"> HYPERLINK \l _Toc24576 </w:instrText>
          </w:r>
          <w:r>
            <w:rPr>
              <w:rFonts w:hint="eastAsia" w:asciiTheme="minorEastAsia" w:hAnsiTheme="minorEastAsia" w:eastAsiaTheme="minorEastAsia" w:cstheme="minorEastAsia"/>
              <w:i w:val="0"/>
              <w:iCs w:val="0"/>
              <w:kern w:val="2"/>
              <w:sz w:val="24"/>
              <w:szCs w:val="24"/>
              <w:lang w:val="en-US" w:eastAsia="zh-CN" w:bidi="ar-SA"/>
            </w:rPr>
            <w:fldChar w:fldCharType="separate"/>
          </w:r>
          <w:r>
            <w:rPr>
              <w:rFonts w:hint="eastAsia" w:asciiTheme="minorEastAsia" w:hAnsiTheme="minorEastAsia" w:eastAsiaTheme="minorEastAsia" w:cstheme="minorEastAsia"/>
              <w:i w:val="0"/>
              <w:iCs w:val="0"/>
              <w:sz w:val="24"/>
              <w:szCs w:val="24"/>
            </w:rPr>
            <w:t>附件2-3 其他特定资格要求</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_Toc24576 \h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27</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kern w:val="2"/>
              <w:sz w:val="24"/>
              <w:szCs w:val="24"/>
              <w:lang w:val="en-US" w:eastAsia="zh-CN" w:bidi="ar-SA"/>
            </w:rPr>
            <w:fldChar w:fldCharType="end"/>
          </w:r>
        </w:p>
        <w:p w14:paraId="210DAF48">
          <w:pPr>
            <w:pStyle w:val="40"/>
            <w:tabs>
              <w:tab w:val="right" w:leader="dot" w:pos="9746"/>
            </w:tabs>
            <w:spacing w:line="360" w:lineRule="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kern w:val="2"/>
              <w:sz w:val="24"/>
              <w:szCs w:val="24"/>
              <w:lang w:val="en-US" w:eastAsia="zh-CN" w:bidi="ar-SA"/>
            </w:rPr>
            <w:fldChar w:fldCharType="begin"/>
          </w:r>
          <w:r>
            <w:rPr>
              <w:rFonts w:hint="eastAsia" w:asciiTheme="minorEastAsia" w:hAnsiTheme="minorEastAsia" w:eastAsiaTheme="minorEastAsia" w:cstheme="minorEastAsia"/>
              <w:i w:val="0"/>
              <w:iCs w:val="0"/>
              <w:kern w:val="2"/>
              <w:sz w:val="24"/>
              <w:szCs w:val="24"/>
              <w:lang w:val="en-US" w:eastAsia="zh-CN" w:bidi="ar-SA"/>
            </w:rPr>
            <w:instrText xml:space="preserve"> HYPERLINK \l _Toc8399 </w:instrText>
          </w:r>
          <w:r>
            <w:rPr>
              <w:rFonts w:hint="eastAsia" w:asciiTheme="minorEastAsia" w:hAnsiTheme="minorEastAsia" w:eastAsiaTheme="minorEastAsia" w:cstheme="minorEastAsia"/>
              <w:i w:val="0"/>
              <w:iCs w:val="0"/>
              <w:kern w:val="2"/>
              <w:sz w:val="24"/>
              <w:szCs w:val="24"/>
              <w:lang w:val="en-US" w:eastAsia="zh-CN" w:bidi="ar-SA"/>
            </w:rPr>
            <w:fldChar w:fldCharType="separate"/>
          </w:r>
          <w:r>
            <w:rPr>
              <w:rFonts w:hint="eastAsia" w:asciiTheme="minorEastAsia" w:hAnsiTheme="minorEastAsia" w:eastAsiaTheme="minorEastAsia" w:cstheme="minorEastAsia"/>
              <w:i w:val="0"/>
              <w:iCs w:val="0"/>
              <w:sz w:val="24"/>
              <w:szCs w:val="24"/>
            </w:rPr>
            <w:t>附件3 法定代表人证明书</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_Toc8399 \h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28</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kern w:val="2"/>
              <w:sz w:val="24"/>
              <w:szCs w:val="24"/>
              <w:lang w:val="en-US" w:eastAsia="zh-CN" w:bidi="ar-SA"/>
            </w:rPr>
            <w:fldChar w:fldCharType="end"/>
          </w:r>
        </w:p>
        <w:p w14:paraId="22E01A75">
          <w:pPr>
            <w:pStyle w:val="40"/>
            <w:tabs>
              <w:tab w:val="right" w:leader="dot" w:pos="9746"/>
            </w:tabs>
            <w:spacing w:line="360" w:lineRule="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kern w:val="2"/>
              <w:sz w:val="24"/>
              <w:szCs w:val="24"/>
              <w:lang w:val="en-US" w:eastAsia="zh-CN" w:bidi="ar-SA"/>
            </w:rPr>
            <w:fldChar w:fldCharType="begin"/>
          </w:r>
          <w:r>
            <w:rPr>
              <w:rFonts w:hint="eastAsia" w:asciiTheme="minorEastAsia" w:hAnsiTheme="minorEastAsia" w:eastAsiaTheme="minorEastAsia" w:cstheme="minorEastAsia"/>
              <w:i w:val="0"/>
              <w:iCs w:val="0"/>
              <w:kern w:val="2"/>
              <w:sz w:val="24"/>
              <w:szCs w:val="24"/>
              <w:lang w:val="en-US" w:eastAsia="zh-CN" w:bidi="ar-SA"/>
            </w:rPr>
            <w:instrText xml:space="preserve"> HYPERLINK \l _Toc6106 </w:instrText>
          </w:r>
          <w:r>
            <w:rPr>
              <w:rFonts w:hint="eastAsia" w:asciiTheme="minorEastAsia" w:hAnsiTheme="minorEastAsia" w:eastAsiaTheme="minorEastAsia" w:cstheme="minorEastAsia"/>
              <w:i w:val="0"/>
              <w:iCs w:val="0"/>
              <w:kern w:val="2"/>
              <w:sz w:val="24"/>
              <w:szCs w:val="24"/>
              <w:lang w:val="en-US" w:eastAsia="zh-CN" w:bidi="ar-SA"/>
            </w:rPr>
            <w:fldChar w:fldCharType="separate"/>
          </w:r>
          <w:r>
            <w:rPr>
              <w:rFonts w:hint="eastAsia" w:asciiTheme="minorEastAsia" w:hAnsiTheme="minorEastAsia" w:eastAsiaTheme="minorEastAsia" w:cstheme="minorEastAsia"/>
              <w:i w:val="0"/>
              <w:iCs w:val="0"/>
              <w:sz w:val="24"/>
              <w:szCs w:val="24"/>
            </w:rPr>
            <w:t>附件4 法定代表人授权委托书</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_Toc6106 \h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29</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kern w:val="2"/>
              <w:sz w:val="24"/>
              <w:szCs w:val="24"/>
              <w:lang w:val="en-US" w:eastAsia="zh-CN" w:bidi="ar-SA"/>
            </w:rPr>
            <w:fldChar w:fldCharType="end"/>
          </w:r>
        </w:p>
        <w:p w14:paraId="3941572D">
          <w:pPr>
            <w:pStyle w:val="40"/>
            <w:tabs>
              <w:tab w:val="right" w:leader="dot" w:pos="9746"/>
            </w:tabs>
            <w:spacing w:line="360" w:lineRule="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kern w:val="2"/>
              <w:sz w:val="24"/>
              <w:szCs w:val="24"/>
              <w:lang w:val="en-US" w:eastAsia="zh-CN" w:bidi="ar-SA"/>
            </w:rPr>
            <w:fldChar w:fldCharType="begin"/>
          </w:r>
          <w:r>
            <w:rPr>
              <w:rFonts w:hint="eastAsia" w:asciiTheme="minorEastAsia" w:hAnsiTheme="minorEastAsia" w:eastAsiaTheme="minorEastAsia" w:cstheme="minorEastAsia"/>
              <w:i w:val="0"/>
              <w:iCs w:val="0"/>
              <w:kern w:val="2"/>
              <w:sz w:val="24"/>
              <w:szCs w:val="24"/>
              <w:lang w:val="en-US" w:eastAsia="zh-CN" w:bidi="ar-SA"/>
            </w:rPr>
            <w:instrText xml:space="preserve"> HYPERLINK \l _Toc14790 </w:instrText>
          </w:r>
          <w:r>
            <w:rPr>
              <w:rFonts w:hint="eastAsia" w:asciiTheme="minorEastAsia" w:hAnsiTheme="minorEastAsia" w:eastAsiaTheme="minorEastAsia" w:cstheme="minorEastAsia"/>
              <w:i w:val="0"/>
              <w:iCs w:val="0"/>
              <w:kern w:val="2"/>
              <w:sz w:val="24"/>
              <w:szCs w:val="24"/>
              <w:lang w:val="en-US" w:eastAsia="zh-CN" w:bidi="ar-SA"/>
            </w:rPr>
            <w:fldChar w:fldCharType="separate"/>
          </w:r>
          <w:r>
            <w:rPr>
              <w:rFonts w:hint="eastAsia" w:asciiTheme="minorEastAsia" w:hAnsiTheme="minorEastAsia" w:eastAsiaTheme="minorEastAsia" w:cstheme="minorEastAsia"/>
              <w:i w:val="0"/>
              <w:iCs w:val="0"/>
              <w:sz w:val="24"/>
              <w:szCs w:val="24"/>
            </w:rPr>
            <w:t>附件5 采购需求书响应表</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_Toc14790 \h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30</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kern w:val="2"/>
              <w:sz w:val="24"/>
              <w:szCs w:val="24"/>
              <w:lang w:val="en-US" w:eastAsia="zh-CN" w:bidi="ar-SA"/>
            </w:rPr>
            <w:fldChar w:fldCharType="end"/>
          </w:r>
        </w:p>
        <w:p w14:paraId="08BD5872">
          <w:pPr>
            <w:pStyle w:val="40"/>
            <w:tabs>
              <w:tab w:val="right" w:leader="dot" w:pos="9746"/>
            </w:tabs>
            <w:spacing w:line="360" w:lineRule="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kern w:val="2"/>
              <w:sz w:val="24"/>
              <w:szCs w:val="24"/>
              <w:lang w:val="en-US" w:eastAsia="zh-CN" w:bidi="ar-SA"/>
            </w:rPr>
            <w:fldChar w:fldCharType="begin"/>
          </w:r>
          <w:r>
            <w:rPr>
              <w:rFonts w:hint="eastAsia" w:asciiTheme="minorEastAsia" w:hAnsiTheme="minorEastAsia" w:eastAsiaTheme="minorEastAsia" w:cstheme="minorEastAsia"/>
              <w:i w:val="0"/>
              <w:iCs w:val="0"/>
              <w:kern w:val="2"/>
              <w:sz w:val="24"/>
              <w:szCs w:val="24"/>
              <w:lang w:val="en-US" w:eastAsia="zh-CN" w:bidi="ar-SA"/>
            </w:rPr>
            <w:instrText xml:space="preserve"> HYPERLINK \l _Toc25737 </w:instrText>
          </w:r>
          <w:r>
            <w:rPr>
              <w:rFonts w:hint="eastAsia" w:asciiTheme="minorEastAsia" w:hAnsiTheme="minorEastAsia" w:eastAsiaTheme="minorEastAsia" w:cstheme="minorEastAsia"/>
              <w:i w:val="0"/>
              <w:iCs w:val="0"/>
              <w:kern w:val="2"/>
              <w:sz w:val="24"/>
              <w:szCs w:val="24"/>
              <w:lang w:val="en-US" w:eastAsia="zh-CN" w:bidi="ar-SA"/>
            </w:rPr>
            <w:fldChar w:fldCharType="separate"/>
          </w:r>
          <w:r>
            <w:rPr>
              <w:rFonts w:hint="eastAsia" w:asciiTheme="minorEastAsia" w:hAnsiTheme="minorEastAsia" w:eastAsiaTheme="minorEastAsia" w:cstheme="minorEastAsia"/>
              <w:i w:val="0"/>
              <w:iCs w:val="0"/>
              <w:sz w:val="24"/>
              <w:szCs w:val="24"/>
            </w:rPr>
            <w:t>附件</w:t>
          </w:r>
          <w:r>
            <w:rPr>
              <w:rFonts w:hint="eastAsia" w:asciiTheme="minorEastAsia" w:hAnsiTheme="minorEastAsia" w:eastAsiaTheme="minorEastAsia" w:cstheme="minorEastAsia"/>
              <w:i w:val="0"/>
              <w:iCs w:val="0"/>
              <w:sz w:val="24"/>
              <w:szCs w:val="24"/>
              <w:lang w:val="en-US" w:eastAsia="zh-CN"/>
            </w:rPr>
            <w:t>6</w:t>
          </w:r>
          <w:r>
            <w:rPr>
              <w:rFonts w:hint="eastAsia" w:asciiTheme="minorEastAsia" w:hAnsiTheme="minorEastAsia" w:eastAsiaTheme="minorEastAsia" w:cstheme="minorEastAsia"/>
              <w:i w:val="0"/>
              <w:iCs w:val="0"/>
              <w:sz w:val="24"/>
              <w:szCs w:val="24"/>
            </w:rPr>
            <w:t xml:space="preserve"> 交纳服务费承诺书</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_Toc25737 \h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30</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kern w:val="2"/>
              <w:sz w:val="24"/>
              <w:szCs w:val="24"/>
              <w:lang w:val="en-US" w:eastAsia="zh-CN" w:bidi="ar-SA"/>
            </w:rPr>
            <w:fldChar w:fldCharType="end"/>
          </w:r>
        </w:p>
        <w:p w14:paraId="155AC7D9">
          <w:pPr>
            <w:pStyle w:val="40"/>
            <w:tabs>
              <w:tab w:val="right" w:leader="dot" w:pos="9746"/>
            </w:tabs>
            <w:spacing w:line="360" w:lineRule="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kern w:val="2"/>
              <w:sz w:val="24"/>
              <w:szCs w:val="24"/>
              <w:lang w:val="en-US" w:eastAsia="zh-CN" w:bidi="ar-SA"/>
            </w:rPr>
            <w:fldChar w:fldCharType="begin"/>
          </w:r>
          <w:r>
            <w:rPr>
              <w:rFonts w:hint="eastAsia" w:asciiTheme="minorEastAsia" w:hAnsiTheme="minorEastAsia" w:eastAsiaTheme="minorEastAsia" w:cstheme="minorEastAsia"/>
              <w:i w:val="0"/>
              <w:iCs w:val="0"/>
              <w:kern w:val="2"/>
              <w:sz w:val="24"/>
              <w:szCs w:val="24"/>
              <w:lang w:val="en-US" w:eastAsia="zh-CN" w:bidi="ar-SA"/>
            </w:rPr>
            <w:instrText xml:space="preserve"> HYPERLINK \l _Toc412 </w:instrText>
          </w:r>
          <w:r>
            <w:rPr>
              <w:rFonts w:hint="eastAsia" w:asciiTheme="minorEastAsia" w:hAnsiTheme="minorEastAsia" w:eastAsiaTheme="minorEastAsia" w:cstheme="minorEastAsia"/>
              <w:i w:val="0"/>
              <w:iCs w:val="0"/>
              <w:kern w:val="2"/>
              <w:sz w:val="24"/>
              <w:szCs w:val="24"/>
              <w:lang w:val="en-US" w:eastAsia="zh-CN" w:bidi="ar-SA"/>
            </w:rPr>
            <w:fldChar w:fldCharType="separate"/>
          </w:r>
          <w:r>
            <w:rPr>
              <w:rFonts w:hint="eastAsia" w:asciiTheme="minorEastAsia" w:hAnsiTheme="minorEastAsia" w:eastAsiaTheme="minorEastAsia" w:cstheme="minorEastAsia"/>
              <w:i w:val="0"/>
              <w:iCs w:val="0"/>
              <w:sz w:val="24"/>
              <w:szCs w:val="24"/>
            </w:rPr>
            <w:t>附件</w:t>
          </w:r>
          <w:r>
            <w:rPr>
              <w:rFonts w:hint="eastAsia" w:asciiTheme="minorEastAsia" w:hAnsiTheme="minorEastAsia" w:eastAsiaTheme="minorEastAsia" w:cstheme="minorEastAsia"/>
              <w:i w:val="0"/>
              <w:iCs w:val="0"/>
              <w:sz w:val="24"/>
              <w:szCs w:val="24"/>
              <w:lang w:val="en-US" w:eastAsia="zh-CN"/>
            </w:rPr>
            <w:t>7</w:t>
          </w:r>
          <w:r>
            <w:rPr>
              <w:rFonts w:hint="eastAsia" w:asciiTheme="minorEastAsia" w:hAnsiTheme="minorEastAsia" w:eastAsiaTheme="minorEastAsia" w:cstheme="minorEastAsia"/>
              <w:i w:val="0"/>
              <w:iCs w:val="0"/>
              <w:sz w:val="24"/>
              <w:szCs w:val="24"/>
            </w:rPr>
            <w:t xml:space="preserve"> 残疾人福利性单位声明函（如需）</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_Toc412 \h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31</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kern w:val="2"/>
              <w:sz w:val="24"/>
              <w:szCs w:val="24"/>
              <w:lang w:val="en-US" w:eastAsia="zh-CN" w:bidi="ar-SA"/>
            </w:rPr>
            <w:fldChar w:fldCharType="end"/>
          </w:r>
        </w:p>
        <w:p w14:paraId="128FAF3F">
          <w:pPr>
            <w:pStyle w:val="40"/>
            <w:tabs>
              <w:tab w:val="right" w:leader="dot" w:pos="9746"/>
            </w:tabs>
            <w:spacing w:line="360" w:lineRule="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kern w:val="2"/>
              <w:sz w:val="24"/>
              <w:szCs w:val="24"/>
              <w:lang w:val="en-US" w:eastAsia="zh-CN" w:bidi="ar-SA"/>
            </w:rPr>
            <w:fldChar w:fldCharType="begin"/>
          </w:r>
          <w:r>
            <w:rPr>
              <w:rFonts w:hint="eastAsia" w:asciiTheme="minorEastAsia" w:hAnsiTheme="minorEastAsia" w:eastAsiaTheme="minorEastAsia" w:cstheme="minorEastAsia"/>
              <w:i w:val="0"/>
              <w:iCs w:val="0"/>
              <w:kern w:val="2"/>
              <w:sz w:val="24"/>
              <w:szCs w:val="24"/>
              <w:lang w:val="en-US" w:eastAsia="zh-CN" w:bidi="ar-SA"/>
            </w:rPr>
            <w:instrText xml:space="preserve"> HYPERLINK \l _Toc9601 </w:instrText>
          </w:r>
          <w:r>
            <w:rPr>
              <w:rFonts w:hint="eastAsia" w:asciiTheme="minorEastAsia" w:hAnsiTheme="minorEastAsia" w:eastAsiaTheme="minorEastAsia" w:cstheme="minorEastAsia"/>
              <w:i w:val="0"/>
              <w:iCs w:val="0"/>
              <w:kern w:val="2"/>
              <w:sz w:val="24"/>
              <w:szCs w:val="24"/>
              <w:lang w:val="en-US" w:eastAsia="zh-CN" w:bidi="ar-SA"/>
            </w:rPr>
            <w:fldChar w:fldCharType="separate"/>
          </w:r>
          <w:r>
            <w:rPr>
              <w:rFonts w:hint="eastAsia" w:asciiTheme="minorEastAsia" w:hAnsiTheme="minorEastAsia" w:eastAsiaTheme="minorEastAsia" w:cstheme="minorEastAsia"/>
              <w:i w:val="0"/>
              <w:iCs w:val="0"/>
              <w:sz w:val="24"/>
              <w:szCs w:val="24"/>
            </w:rPr>
            <w:t>附件</w:t>
          </w:r>
          <w:r>
            <w:rPr>
              <w:rFonts w:hint="eastAsia" w:asciiTheme="minorEastAsia" w:hAnsiTheme="minorEastAsia" w:eastAsiaTheme="minorEastAsia" w:cstheme="minorEastAsia"/>
              <w:i w:val="0"/>
              <w:iCs w:val="0"/>
              <w:sz w:val="24"/>
              <w:szCs w:val="24"/>
              <w:lang w:val="en-US" w:eastAsia="zh-CN"/>
            </w:rPr>
            <w:t>8</w:t>
          </w:r>
          <w:r>
            <w:rPr>
              <w:rFonts w:hint="eastAsia" w:asciiTheme="minorEastAsia" w:hAnsiTheme="minorEastAsia" w:eastAsiaTheme="minorEastAsia" w:cstheme="minorEastAsia"/>
              <w:i w:val="0"/>
              <w:iCs w:val="0"/>
              <w:sz w:val="24"/>
              <w:szCs w:val="24"/>
            </w:rPr>
            <w:t xml:space="preserve"> 监狱企业的证明文件（如需）</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_Toc9601 \h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31</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kern w:val="2"/>
              <w:sz w:val="24"/>
              <w:szCs w:val="24"/>
              <w:lang w:val="en-US" w:eastAsia="zh-CN" w:bidi="ar-SA"/>
            </w:rPr>
            <w:fldChar w:fldCharType="end"/>
          </w:r>
        </w:p>
        <w:p w14:paraId="0D082895">
          <w:pPr>
            <w:pStyle w:val="40"/>
            <w:tabs>
              <w:tab w:val="right" w:leader="dot" w:pos="9746"/>
            </w:tabs>
            <w:spacing w:line="360" w:lineRule="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kern w:val="2"/>
              <w:sz w:val="24"/>
              <w:szCs w:val="24"/>
              <w:lang w:val="en-US" w:eastAsia="zh-CN" w:bidi="ar-SA"/>
            </w:rPr>
            <w:fldChar w:fldCharType="begin"/>
          </w:r>
          <w:r>
            <w:rPr>
              <w:rFonts w:hint="eastAsia" w:asciiTheme="minorEastAsia" w:hAnsiTheme="minorEastAsia" w:eastAsiaTheme="minorEastAsia" w:cstheme="minorEastAsia"/>
              <w:i w:val="0"/>
              <w:iCs w:val="0"/>
              <w:kern w:val="2"/>
              <w:sz w:val="24"/>
              <w:szCs w:val="24"/>
              <w:lang w:val="en-US" w:eastAsia="zh-CN" w:bidi="ar-SA"/>
            </w:rPr>
            <w:instrText xml:space="preserve"> HYPERLINK \l _Toc3812 </w:instrText>
          </w:r>
          <w:r>
            <w:rPr>
              <w:rFonts w:hint="eastAsia" w:asciiTheme="minorEastAsia" w:hAnsiTheme="minorEastAsia" w:eastAsiaTheme="minorEastAsia" w:cstheme="minorEastAsia"/>
              <w:i w:val="0"/>
              <w:iCs w:val="0"/>
              <w:kern w:val="2"/>
              <w:sz w:val="24"/>
              <w:szCs w:val="24"/>
              <w:lang w:val="en-US" w:eastAsia="zh-CN" w:bidi="ar-SA"/>
            </w:rPr>
            <w:fldChar w:fldCharType="separate"/>
          </w:r>
          <w:r>
            <w:rPr>
              <w:rFonts w:hint="eastAsia" w:asciiTheme="minorEastAsia" w:hAnsiTheme="minorEastAsia" w:eastAsiaTheme="minorEastAsia" w:cstheme="minorEastAsia"/>
              <w:i w:val="0"/>
              <w:iCs w:val="0"/>
              <w:sz w:val="24"/>
              <w:szCs w:val="24"/>
            </w:rPr>
            <w:t>附件</w:t>
          </w:r>
          <w:r>
            <w:rPr>
              <w:rFonts w:hint="eastAsia" w:asciiTheme="minorEastAsia" w:hAnsiTheme="minorEastAsia" w:eastAsiaTheme="minorEastAsia" w:cstheme="minorEastAsia"/>
              <w:i w:val="0"/>
              <w:iCs w:val="0"/>
              <w:sz w:val="24"/>
              <w:szCs w:val="24"/>
              <w:lang w:val="en-US" w:eastAsia="zh-CN"/>
            </w:rPr>
            <w:t>9</w:t>
          </w:r>
          <w:r>
            <w:rPr>
              <w:rFonts w:hint="eastAsia" w:asciiTheme="minorEastAsia" w:hAnsiTheme="minorEastAsia" w:eastAsiaTheme="minorEastAsia" w:cstheme="minorEastAsia"/>
              <w:i w:val="0"/>
              <w:iCs w:val="0"/>
              <w:sz w:val="24"/>
              <w:szCs w:val="24"/>
            </w:rPr>
            <w:t xml:space="preserve"> 中小企业声明函</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_Toc3812 \h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32</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kern w:val="2"/>
              <w:sz w:val="24"/>
              <w:szCs w:val="24"/>
              <w:lang w:val="en-US" w:eastAsia="zh-CN" w:bidi="ar-SA"/>
            </w:rPr>
            <w:fldChar w:fldCharType="end"/>
          </w:r>
        </w:p>
        <w:p w14:paraId="1239F609">
          <w:pPr>
            <w:pStyle w:val="40"/>
            <w:tabs>
              <w:tab w:val="right" w:leader="dot" w:pos="9746"/>
            </w:tabs>
            <w:spacing w:line="360" w:lineRule="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kern w:val="2"/>
              <w:sz w:val="24"/>
              <w:szCs w:val="24"/>
              <w:lang w:val="en-US" w:eastAsia="zh-CN" w:bidi="ar-SA"/>
            </w:rPr>
            <w:fldChar w:fldCharType="begin"/>
          </w:r>
          <w:r>
            <w:rPr>
              <w:rFonts w:hint="eastAsia" w:asciiTheme="minorEastAsia" w:hAnsiTheme="minorEastAsia" w:eastAsiaTheme="minorEastAsia" w:cstheme="minorEastAsia"/>
              <w:i w:val="0"/>
              <w:iCs w:val="0"/>
              <w:kern w:val="2"/>
              <w:sz w:val="24"/>
              <w:szCs w:val="24"/>
              <w:lang w:val="en-US" w:eastAsia="zh-CN" w:bidi="ar-SA"/>
            </w:rPr>
            <w:instrText xml:space="preserve"> HYPERLINK \l _Toc16433 </w:instrText>
          </w:r>
          <w:r>
            <w:rPr>
              <w:rFonts w:hint="eastAsia" w:asciiTheme="minorEastAsia" w:hAnsiTheme="minorEastAsia" w:eastAsiaTheme="minorEastAsia" w:cstheme="minorEastAsia"/>
              <w:i w:val="0"/>
              <w:iCs w:val="0"/>
              <w:kern w:val="2"/>
              <w:sz w:val="24"/>
              <w:szCs w:val="24"/>
              <w:lang w:val="en-US" w:eastAsia="zh-CN" w:bidi="ar-SA"/>
            </w:rPr>
            <w:fldChar w:fldCharType="separate"/>
          </w:r>
          <w:r>
            <w:rPr>
              <w:rFonts w:hint="eastAsia" w:asciiTheme="minorEastAsia" w:hAnsiTheme="minorEastAsia" w:eastAsiaTheme="minorEastAsia" w:cstheme="minorEastAsia"/>
              <w:i w:val="0"/>
              <w:iCs w:val="0"/>
              <w:sz w:val="24"/>
              <w:szCs w:val="24"/>
            </w:rPr>
            <w:t>附件1</w:t>
          </w:r>
          <w:r>
            <w:rPr>
              <w:rFonts w:hint="eastAsia" w:asciiTheme="minorEastAsia" w:hAnsiTheme="minorEastAsia" w:eastAsiaTheme="minorEastAsia" w:cstheme="minorEastAsia"/>
              <w:i w:val="0"/>
              <w:iCs w:val="0"/>
              <w:sz w:val="24"/>
              <w:szCs w:val="24"/>
              <w:lang w:val="en-US" w:eastAsia="zh-CN"/>
            </w:rPr>
            <w:t>0</w:t>
          </w:r>
          <w:r>
            <w:rPr>
              <w:rFonts w:hint="eastAsia" w:asciiTheme="minorEastAsia" w:hAnsiTheme="minorEastAsia" w:eastAsiaTheme="minorEastAsia" w:cstheme="minorEastAsia"/>
              <w:i w:val="0"/>
              <w:iCs w:val="0"/>
              <w:sz w:val="24"/>
              <w:szCs w:val="24"/>
            </w:rPr>
            <w:t xml:space="preserve"> 项目经验一览表</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_Toc16433 \h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33</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kern w:val="2"/>
              <w:sz w:val="24"/>
              <w:szCs w:val="24"/>
              <w:lang w:val="en-US" w:eastAsia="zh-CN" w:bidi="ar-SA"/>
            </w:rPr>
            <w:fldChar w:fldCharType="end"/>
          </w:r>
        </w:p>
        <w:p w14:paraId="39622179">
          <w:pPr>
            <w:pStyle w:val="40"/>
            <w:tabs>
              <w:tab w:val="right" w:leader="dot" w:pos="9746"/>
            </w:tabs>
            <w:spacing w:line="360" w:lineRule="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kern w:val="2"/>
              <w:sz w:val="24"/>
              <w:szCs w:val="24"/>
              <w:lang w:val="en-US" w:eastAsia="zh-CN" w:bidi="ar-SA"/>
            </w:rPr>
            <w:fldChar w:fldCharType="begin"/>
          </w:r>
          <w:r>
            <w:rPr>
              <w:rFonts w:hint="eastAsia" w:asciiTheme="minorEastAsia" w:hAnsiTheme="minorEastAsia" w:eastAsiaTheme="minorEastAsia" w:cstheme="minorEastAsia"/>
              <w:i w:val="0"/>
              <w:iCs w:val="0"/>
              <w:kern w:val="2"/>
              <w:sz w:val="24"/>
              <w:szCs w:val="24"/>
              <w:lang w:val="en-US" w:eastAsia="zh-CN" w:bidi="ar-SA"/>
            </w:rPr>
            <w:instrText xml:space="preserve"> HYPERLINK \l _Toc24026 </w:instrText>
          </w:r>
          <w:r>
            <w:rPr>
              <w:rFonts w:hint="eastAsia" w:asciiTheme="minorEastAsia" w:hAnsiTheme="minorEastAsia" w:eastAsiaTheme="minorEastAsia" w:cstheme="minorEastAsia"/>
              <w:i w:val="0"/>
              <w:iCs w:val="0"/>
              <w:kern w:val="2"/>
              <w:sz w:val="24"/>
              <w:szCs w:val="24"/>
              <w:lang w:val="en-US" w:eastAsia="zh-CN" w:bidi="ar-SA"/>
            </w:rPr>
            <w:fldChar w:fldCharType="separate"/>
          </w:r>
          <w:r>
            <w:rPr>
              <w:rFonts w:hint="eastAsia" w:asciiTheme="minorEastAsia" w:hAnsiTheme="minorEastAsia" w:eastAsiaTheme="minorEastAsia" w:cstheme="minorEastAsia"/>
              <w:i w:val="0"/>
              <w:iCs w:val="0"/>
              <w:sz w:val="24"/>
              <w:szCs w:val="24"/>
            </w:rPr>
            <w:t>附件1</w:t>
          </w:r>
          <w:r>
            <w:rPr>
              <w:rFonts w:hint="eastAsia" w:asciiTheme="minorEastAsia" w:hAnsiTheme="minorEastAsia" w:eastAsiaTheme="minorEastAsia" w:cstheme="minorEastAsia"/>
              <w:i w:val="0"/>
              <w:iCs w:val="0"/>
              <w:sz w:val="24"/>
              <w:szCs w:val="24"/>
              <w:lang w:val="en-US" w:eastAsia="zh-CN"/>
            </w:rPr>
            <w:t>1</w:t>
          </w:r>
          <w:r>
            <w:rPr>
              <w:rFonts w:hint="eastAsia" w:asciiTheme="minorEastAsia" w:hAnsiTheme="minorEastAsia" w:eastAsiaTheme="minorEastAsia" w:cstheme="minorEastAsia"/>
              <w:i w:val="0"/>
              <w:iCs w:val="0"/>
              <w:sz w:val="24"/>
              <w:szCs w:val="24"/>
            </w:rPr>
            <w:t xml:space="preserve"> 企业证书情况表</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_Toc24026 \h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33</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kern w:val="2"/>
              <w:sz w:val="24"/>
              <w:szCs w:val="24"/>
              <w:lang w:val="en-US" w:eastAsia="zh-CN" w:bidi="ar-SA"/>
            </w:rPr>
            <w:fldChar w:fldCharType="end"/>
          </w:r>
        </w:p>
        <w:p w14:paraId="3015C0E1">
          <w:pPr>
            <w:pStyle w:val="40"/>
            <w:tabs>
              <w:tab w:val="right" w:leader="dot" w:pos="9746"/>
            </w:tabs>
            <w:spacing w:line="360" w:lineRule="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kern w:val="2"/>
              <w:sz w:val="24"/>
              <w:szCs w:val="24"/>
              <w:lang w:val="en-US" w:eastAsia="zh-CN" w:bidi="ar-SA"/>
            </w:rPr>
            <w:fldChar w:fldCharType="begin"/>
          </w:r>
          <w:r>
            <w:rPr>
              <w:rFonts w:hint="eastAsia" w:asciiTheme="minorEastAsia" w:hAnsiTheme="minorEastAsia" w:eastAsiaTheme="minorEastAsia" w:cstheme="minorEastAsia"/>
              <w:i w:val="0"/>
              <w:iCs w:val="0"/>
              <w:kern w:val="2"/>
              <w:sz w:val="24"/>
              <w:szCs w:val="24"/>
              <w:lang w:val="en-US" w:eastAsia="zh-CN" w:bidi="ar-SA"/>
            </w:rPr>
            <w:instrText xml:space="preserve"> HYPERLINK \l _Toc16995 </w:instrText>
          </w:r>
          <w:r>
            <w:rPr>
              <w:rFonts w:hint="eastAsia" w:asciiTheme="minorEastAsia" w:hAnsiTheme="minorEastAsia" w:eastAsiaTheme="minorEastAsia" w:cstheme="minorEastAsia"/>
              <w:i w:val="0"/>
              <w:iCs w:val="0"/>
              <w:kern w:val="2"/>
              <w:sz w:val="24"/>
              <w:szCs w:val="24"/>
              <w:lang w:val="en-US" w:eastAsia="zh-CN" w:bidi="ar-SA"/>
            </w:rPr>
            <w:fldChar w:fldCharType="separate"/>
          </w:r>
          <w:r>
            <w:rPr>
              <w:rFonts w:hint="eastAsia" w:asciiTheme="minorEastAsia" w:hAnsiTheme="minorEastAsia" w:eastAsiaTheme="minorEastAsia" w:cstheme="minorEastAsia"/>
              <w:i w:val="0"/>
              <w:iCs w:val="0"/>
              <w:sz w:val="24"/>
              <w:szCs w:val="24"/>
            </w:rPr>
            <w:t>附件1</w:t>
          </w:r>
          <w:r>
            <w:rPr>
              <w:rFonts w:hint="eastAsia" w:asciiTheme="minorEastAsia" w:hAnsiTheme="minorEastAsia" w:eastAsiaTheme="minorEastAsia" w:cstheme="minorEastAsia"/>
              <w:i w:val="0"/>
              <w:iCs w:val="0"/>
              <w:sz w:val="24"/>
              <w:szCs w:val="24"/>
              <w:lang w:val="en-US" w:eastAsia="zh-CN"/>
            </w:rPr>
            <w:t>2</w:t>
          </w:r>
          <w:r>
            <w:rPr>
              <w:rFonts w:hint="eastAsia" w:asciiTheme="minorEastAsia" w:hAnsiTheme="minorEastAsia" w:eastAsiaTheme="minorEastAsia" w:cstheme="minorEastAsia"/>
              <w:i w:val="0"/>
              <w:iCs w:val="0"/>
              <w:sz w:val="24"/>
              <w:szCs w:val="24"/>
            </w:rPr>
            <w:t xml:space="preserve"> 其他评审要求资料</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_Toc16995 \h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33</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kern w:val="2"/>
              <w:sz w:val="24"/>
              <w:szCs w:val="24"/>
              <w:lang w:val="en-US" w:eastAsia="zh-CN" w:bidi="ar-SA"/>
            </w:rPr>
            <w:fldChar w:fldCharType="end"/>
          </w:r>
        </w:p>
        <w:p w14:paraId="00A1476A">
          <w:pPr>
            <w:pStyle w:val="40"/>
            <w:tabs>
              <w:tab w:val="right" w:leader="dot" w:pos="9746"/>
            </w:tabs>
            <w:spacing w:line="360" w:lineRule="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kern w:val="2"/>
              <w:sz w:val="24"/>
              <w:szCs w:val="24"/>
              <w:lang w:val="en-US" w:eastAsia="zh-CN" w:bidi="ar-SA"/>
            </w:rPr>
            <w:fldChar w:fldCharType="begin"/>
          </w:r>
          <w:r>
            <w:rPr>
              <w:rFonts w:hint="eastAsia" w:asciiTheme="minorEastAsia" w:hAnsiTheme="minorEastAsia" w:eastAsiaTheme="minorEastAsia" w:cstheme="minorEastAsia"/>
              <w:i w:val="0"/>
              <w:iCs w:val="0"/>
              <w:kern w:val="2"/>
              <w:sz w:val="24"/>
              <w:szCs w:val="24"/>
              <w:lang w:val="en-US" w:eastAsia="zh-CN" w:bidi="ar-SA"/>
            </w:rPr>
            <w:instrText xml:space="preserve"> HYPERLINK \l _Toc9646 </w:instrText>
          </w:r>
          <w:r>
            <w:rPr>
              <w:rFonts w:hint="eastAsia" w:asciiTheme="minorEastAsia" w:hAnsiTheme="minorEastAsia" w:eastAsiaTheme="minorEastAsia" w:cstheme="minorEastAsia"/>
              <w:i w:val="0"/>
              <w:iCs w:val="0"/>
              <w:kern w:val="2"/>
              <w:sz w:val="24"/>
              <w:szCs w:val="24"/>
              <w:lang w:val="en-US" w:eastAsia="zh-CN" w:bidi="ar-SA"/>
            </w:rPr>
            <w:fldChar w:fldCharType="separate"/>
          </w:r>
          <w:r>
            <w:rPr>
              <w:rFonts w:hint="eastAsia" w:asciiTheme="minorEastAsia" w:hAnsiTheme="minorEastAsia" w:eastAsiaTheme="minorEastAsia" w:cstheme="minorEastAsia"/>
              <w:i w:val="0"/>
              <w:iCs w:val="0"/>
              <w:sz w:val="24"/>
              <w:szCs w:val="24"/>
            </w:rPr>
            <w:t>附件1</w:t>
          </w:r>
          <w:r>
            <w:rPr>
              <w:rFonts w:hint="eastAsia" w:asciiTheme="minorEastAsia" w:hAnsiTheme="minorEastAsia" w:eastAsiaTheme="minorEastAsia" w:cstheme="minorEastAsia"/>
              <w:i w:val="0"/>
              <w:iCs w:val="0"/>
              <w:sz w:val="24"/>
              <w:szCs w:val="24"/>
              <w:lang w:val="en-US" w:eastAsia="zh-CN"/>
            </w:rPr>
            <w:t>3</w:t>
          </w:r>
          <w:r>
            <w:rPr>
              <w:rFonts w:hint="eastAsia" w:asciiTheme="minorEastAsia" w:hAnsiTheme="minorEastAsia" w:eastAsiaTheme="minorEastAsia" w:cstheme="minorEastAsia"/>
              <w:i w:val="0"/>
              <w:iCs w:val="0"/>
              <w:sz w:val="24"/>
              <w:szCs w:val="24"/>
            </w:rPr>
            <w:t xml:space="preserve"> 报价一览表</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_Toc9646 \h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34</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kern w:val="2"/>
              <w:sz w:val="24"/>
              <w:szCs w:val="24"/>
              <w:lang w:val="en-US" w:eastAsia="zh-CN" w:bidi="ar-SA"/>
            </w:rPr>
            <w:fldChar w:fldCharType="end"/>
          </w:r>
        </w:p>
        <w:p w14:paraId="0607E398">
          <w:pPr>
            <w:pStyle w:val="40"/>
            <w:tabs>
              <w:tab w:val="right" w:leader="dot" w:pos="9746"/>
            </w:tabs>
            <w:spacing w:line="360" w:lineRule="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kern w:val="2"/>
              <w:sz w:val="24"/>
              <w:szCs w:val="24"/>
              <w:lang w:val="en-US" w:eastAsia="zh-CN" w:bidi="ar-SA"/>
            </w:rPr>
            <w:fldChar w:fldCharType="begin"/>
          </w:r>
          <w:r>
            <w:rPr>
              <w:rFonts w:hint="eastAsia" w:asciiTheme="minorEastAsia" w:hAnsiTheme="minorEastAsia" w:eastAsiaTheme="minorEastAsia" w:cstheme="minorEastAsia"/>
              <w:i w:val="0"/>
              <w:iCs w:val="0"/>
              <w:kern w:val="2"/>
              <w:sz w:val="24"/>
              <w:szCs w:val="24"/>
              <w:lang w:val="en-US" w:eastAsia="zh-CN" w:bidi="ar-SA"/>
            </w:rPr>
            <w:instrText xml:space="preserve"> HYPERLINK \l _Toc11469 </w:instrText>
          </w:r>
          <w:r>
            <w:rPr>
              <w:rFonts w:hint="eastAsia" w:asciiTheme="minorEastAsia" w:hAnsiTheme="minorEastAsia" w:eastAsiaTheme="minorEastAsia" w:cstheme="minorEastAsia"/>
              <w:i w:val="0"/>
              <w:iCs w:val="0"/>
              <w:kern w:val="2"/>
              <w:sz w:val="24"/>
              <w:szCs w:val="24"/>
              <w:lang w:val="en-US" w:eastAsia="zh-CN" w:bidi="ar-SA"/>
            </w:rPr>
            <w:fldChar w:fldCharType="separate"/>
          </w:r>
          <w:r>
            <w:rPr>
              <w:rFonts w:hint="eastAsia" w:asciiTheme="minorEastAsia" w:hAnsiTheme="minorEastAsia" w:eastAsiaTheme="minorEastAsia" w:cstheme="minorEastAsia"/>
              <w:i w:val="0"/>
              <w:iCs w:val="0"/>
              <w:sz w:val="24"/>
              <w:szCs w:val="24"/>
            </w:rPr>
            <w:t>附件1</w:t>
          </w:r>
          <w:r>
            <w:rPr>
              <w:rFonts w:hint="eastAsia" w:asciiTheme="minorEastAsia" w:hAnsiTheme="minorEastAsia" w:eastAsiaTheme="minorEastAsia" w:cstheme="minorEastAsia"/>
              <w:i w:val="0"/>
              <w:iCs w:val="0"/>
              <w:sz w:val="24"/>
              <w:szCs w:val="24"/>
              <w:lang w:val="en-US" w:eastAsia="zh-CN"/>
            </w:rPr>
            <w:t>4</w:t>
          </w:r>
          <w:r>
            <w:rPr>
              <w:rFonts w:hint="eastAsia" w:asciiTheme="minorEastAsia" w:hAnsiTheme="minorEastAsia" w:eastAsiaTheme="minorEastAsia" w:cstheme="minorEastAsia"/>
              <w:i w:val="0"/>
              <w:iCs w:val="0"/>
              <w:sz w:val="24"/>
              <w:szCs w:val="24"/>
            </w:rPr>
            <w:t xml:space="preserve"> 详细报价</w:t>
          </w:r>
          <w:r>
            <w:rPr>
              <w:rFonts w:hint="eastAsia" w:asciiTheme="minorEastAsia" w:hAnsiTheme="minorEastAsia" w:eastAsiaTheme="minorEastAsia" w:cstheme="minorEastAsia"/>
              <w:i w:val="0"/>
              <w:iCs w:val="0"/>
              <w:sz w:val="24"/>
              <w:szCs w:val="24"/>
            </w:rPr>
            <w:tab/>
          </w:r>
          <w:r>
            <w:rPr>
              <w:rFonts w:hint="eastAsia" w:asciiTheme="minorEastAsia" w:hAnsiTheme="minorEastAsia" w:eastAsiaTheme="minorEastAsia" w:cstheme="minorEastAsia"/>
              <w:i w:val="0"/>
              <w:iCs w:val="0"/>
              <w:sz w:val="24"/>
              <w:szCs w:val="24"/>
            </w:rPr>
            <w:fldChar w:fldCharType="begin"/>
          </w:r>
          <w:r>
            <w:rPr>
              <w:rFonts w:hint="eastAsia" w:asciiTheme="minorEastAsia" w:hAnsiTheme="minorEastAsia" w:eastAsiaTheme="minorEastAsia" w:cstheme="minorEastAsia"/>
              <w:i w:val="0"/>
              <w:iCs w:val="0"/>
              <w:sz w:val="24"/>
              <w:szCs w:val="24"/>
            </w:rPr>
            <w:instrText xml:space="preserve"> PAGEREF _Toc11469 \h </w:instrText>
          </w:r>
          <w:r>
            <w:rPr>
              <w:rFonts w:hint="eastAsia" w:asciiTheme="minorEastAsia" w:hAnsiTheme="minorEastAsia" w:eastAsiaTheme="minorEastAsia" w:cstheme="minorEastAsia"/>
              <w:i w:val="0"/>
              <w:iCs w:val="0"/>
              <w:sz w:val="24"/>
              <w:szCs w:val="24"/>
            </w:rPr>
            <w:fldChar w:fldCharType="separate"/>
          </w:r>
          <w:r>
            <w:rPr>
              <w:rFonts w:hint="eastAsia" w:asciiTheme="minorEastAsia" w:hAnsiTheme="minorEastAsia" w:eastAsiaTheme="minorEastAsia" w:cstheme="minorEastAsia"/>
              <w:i w:val="0"/>
              <w:iCs w:val="0"/>
              <w:sz w:val="24"/>
              <w:szCs w:val="24"/>
            </w:rPr>
            <w:t>34</w:t>
          </w:r>
          <w:r>
            <w:rPr>
              <w:rFonts w:hint="eastAsia" w:asciiTheme="minorEastAsia" w:hAnsiTheme="minorEastAsia" w:eastAsiaTheme="minorEastAsia" w:cstheme="minorEastAsia"/>
              <w:i w:val="0"/>
              <w:iCs w:val="0"/>
              <w:sz w:val="24"/>
              <w:szCs w:val="24"/>
            </w:rPr>
            <w:fldChar w:fldCharType="end"/>
          </w:r>
          <w:r>
            <w:rPr>
              <w:rFonts w:hint="eastAsia" w:asciiTheme="minorEastAsia" w:hAnsiTheme="minorEastAsia" w:eastAsiaTheme="minorEastAsia" w:cstheme="minorEastAsia"/>
              <w:i w:val="0"/>
              <w:iCs w:val="0"/>
              <w:kern w:val="2"/>
              <w:sz w:val="24"/>
              <w:szCs w:val="24"/>
              <w:lang w:val="en-US" w:eastAsia="zh-CN" w:bidi="ar-SA"/>
            </w:rPr>
            <w:fldChar w:fldCharType="end"/>
          </w:r>
        </w:p>
        <w:p w14:paraId="7913BC81">
          <w:pPr>
            <w:pStyle w:val="39"/>
            <w:spacing w:line="360" w:lineRule="auto"/>
            <w:rPr>
              <w:rFonts w:ascii="Times New Roman" w:hAnsi="Times New Roman" w:eastAsia="宋体" w:cs="Times New Roman"/>
              <w:kern w:val="2"/>
              <w:sz w:val="16"/>
              <w:szCs w:val="16"/>
              <w:lang w:val="en-US" w:eastAsia="zh-CN" w:bidi="ar-SA"/>
            </w:rPr>
          </w:pPr>
          <w:r>
            <w:rPr>
              <w:rFonts w:hint="eastAsia" w:asciiTheme="minorEastAsia" w:hAnsiTheme="minorEastAsia" w:eastAsiaTheme="minorEastAsia" w:cstheme="minorEastAsia"/>
              <w:i w:val="0"/>
              <w:iCs w:val="0"/>
              <w:kern w:val="2"/>
              <w:sz w:val="24"/>
              <w:szCs w:val="24"/>
              <w:lang w:val="en-US" w:eastAsia="zh-CN" w:bidi="ar-SA"/>
            </w:rPr>
            <w:fldChar w:fldCharType="end"/>
          </w:r>
        </w:p>
      </w:sdtContent>
    </w:sdt>
    <w:p w14:paraId="5FF12AFD">
      <w:pPr>
        <w:pStyle w:val="39"/>
        <w:rPr>
          <w:rFonts w:ascii="Times New Roman" w:hAnsi="Times New Roman" w:eastAsia="宋体" w:cs="Times New Roman"/>
          <w:kern w:val="2"/>
          <w:sz w:val="16"/>
          <w:szCs w:val="16"/>
          <w:lang w:val="en-US" w:eastAsia="zh-CN" w:bidi="ar-SA"/>
        </w:rPr>
        <w:sectPr>
          <w:headerReference r:id="rId5" w:type="default"/>
          <w:footerReference r:id="rId6" w:type="default"/>
          <w:pgSz w:w="11906" w:h="16838"/>
          <w:pgMar w:top="1440" w:right="1080" w:bottom="1440" w:left="1080" w:header="709" w:footer="848" w:gutter="0"/>
          <w:pgNumType w:start="1"/>
          <w:cols w:space="720" w:num="1"/>
          <w:docGrid w:linePitch="312" w:charSpace="0"/>
        </w:sectPr>
      </w:pPr>
    </w:p>
    <w:p w14:paraId="0F8746E8">
      <w:pPr>
        <w:spacing w:line="360" w:lineRule="auto"/>
        <w:jc w:val="center"/>
        <w:outlineLvl w:val="0"/>
        <w:rPr>
          <w:rFonts w:ascii="微软雅黑" w:hAnsi="微软雅黑" w:eastAsia="微软雅黑"/>
          <w:b/>
          <w:sz w:val="28"/>
        </w:rPr>
      </w:pPr>
      <w:bookmarkStart w:id="8" w:name="_Toc297209392"/>
      <w:bookmarkStart w:id="9" w:name="_Toc24565"/>
      <w:bookmarkStart w:id="10" w:name="_Toc16160"/>
      <w:r>
        <w:rPr>
          <w:rFonts w:hint="eastAsia" w:ascii="微软雅黑" w:hAnsi="微软雅黑" w:eastAsia="微软雅黑"/>
          <w:b/>
          <w:sz w:val="28"/>
        </w:rPr>
        <w:t xml:space="preserve">第一章 </w:t>
      </w:r>
      <w:bookmarkEnd w:id="8"/>
      <w:r>
        <w:rPr>
          <w:rFonts w:hint="eastAsia" w:ascii="微软雅黑" w:hAnsi="微软雅黑" w:eastAsia="微软雅黑"/>
          <w:b/>
          <w:sz w:val="28"/>
        </w:rPr>
        <w:t>采购邀请</w:t>
      </w:r>
      <w:bookmarkEnd w:id="9"/>
      <w:bookmarkEnd w:id="10"/>
    </w:p>
    <w:p w14:paraId="1F9A64C4">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2"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sz w:val="24"/>
          <w:szCs w:val="24"/>
          <w:u w:val="single"/>
          <w:lang w:eastAsia="zh-CN"/>
        </w:rPr>
        <w:t>广东省粤东技师学院海天数智化综合实训基地改造工程</w:t>
      </w:r>
      <w:r>
        <w:rPr>
          <w:rFonts w:hint="eastAsia" w:asciiTheme="minorEastAsia" w:hAnsiTheme="minorEastAsia" w:eastAsiaTheme="minorEastAsia" w:cstheme="minorEastAsia"/>
          <w:bCs/>
          <w:sz w:val="24"/>
          <w:szCs w:val="24"/>
        </w:rPr>
        <w:t>的潜在</w:t>
      </w:r>
      <w:r>
        <w:rPr>
          <w:rFonts w:hint="eastAsia" w:asciiTheme="minorEastAsia" w:hAnsiTheme="minorEastAsia" w:eastAsiaTheme="minorEastAsia" w:cstheme="minorEastAsia"/>
          <w:bCs/>
          <w:sz w:val="24"/>
          <w:szCs w:val="24"/>
          <w:lang w:eastAsia="zh-CN"/>
        </w:rPr>
        <w:t>响应供应商</w:t>
      </w:r>
      <w:r>
        <w:rPr>
          <w:rFonts w:hint="eastAsia" w:asciiTheme="minorEastAsia" w:hAnsiTheme="minorEastAsia" w:eastAsiaTheme="minorEastAsia" w:cstheme="minorEastAsia"/>
          <w:bCs/>
          <w:sz w:val="24"/>
          <w:szCs w:val="24"/>
        </w:rPr>
        <w:t>应在</w:t>
      </w:r>
      <w:r>
        <w:rPr>
          <w:rFonts w:hint="eastAsia" w:asciiTheme="minorEastAsia" w:hAnsiTheme="minorEastAsia" w:eastAsiaTheme="minorEastAsia" w:cstheme="minorEastAsia"/>
          <w:b/>
          <w:bCs/>
          <w:sz w:val="24"/>
          <w:szCs w:val="24"/>
          <w:u w:val="single"/>
          <w:lang w:eastAsia="zh-CN"/>
        </w:rPr>
        <w:t>广州市天河区广汕二路13号天河软件园凤凰园区三楼307</w:t>
      </w:r>
      <w:r>
        <w:rPr>
          <w:rFonts w:hint="eastAsia" w:asciiTheme="minorEastAsia" w:hAnsiTheme="minorEastAsia" w:eastAsiaTheme="minorEastAsia" w:cstheme="minorEastAsia"/>
          <w:bCs/>
          <w:sz w:val="24"/>
          <w:szCs w:val="24"/>
        </w:rPr>
        <w:t>获取</w:t>
      </w:r>
      <w:r>
        <w:rPr>
          <w:rFonts w:hint="eastAsia" w:asciiTheme="minorEastAsia" w:hAnsiTheme="minorEastAsia" w:eastAsiaTheme="minorEastAsia" w:cstheme="minorEastAsia"/>
          <w:bCs/>
          <w:sz w:val="24"/>
          <w:szCs w:val="24"/>
          <w:lang w:eastAsia="zh-CN"/>
        </w:rPr>
        <w:t>遴选文件</w:t>
      </w:r>
      <w:r>
        <w:rPr>
          <w:rFonts w:hint="eastAsia" w:asciiTheme="minorEastAsia" w:hAnsiTheme="minorEastAsia" w:eastAsiaTheme="minorEastAsia" w:cstheme="minorEastAsia"/>
          <w:bCs/>
          <w:sz w:val="24"/>
          <w:szCs w:val="24"/>
        </w:rPr>
        <w:t>。</w:t>
      </w:r>
    </w:p>
    <w:p w14:paraId="648847F9">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一、项目基本情况：</w:t>
      </w:r>
    </w:p>
    <w:p w14:paraId="28D3E2A6">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1.项目名称：</w:t>
      </w:r>
      <w:r>
        <w:rPr>
          <w:rFonts w:hint="eastAsia" w:asciiTheme="minorEastAsia" w:hAnsiTheme="minorEastAsia" w:eastAsiaTheme="minorEastAsia" w:cstheme="minorEastAsia"/>
          <w:bCs/>
          <w:sz w:val="24"/>
          <w:szCs w:val="24"/>
          <w:lang w:eastAsia="zh-CN"/>
        </w:rPr>
        <w:t>广东省粤东技师学院海天数智化综合实训基地改造工程</w:t>
      </w:r>
    </w:p>
    <w:p w14:paraId="072BF1E9">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2.项目编号：</w:t>
      </w:r>
      <w:r>
        <w:rPr>
          <w:rFonts w:hint="eastAsia" w:asciiTheme="minorEastAsia" w:hAnsiTheme="minorEastAsia" w:eastAsiaTheme="minorEastAsia" w:cstheme="minorEastAsia"/>
          <w:bCs/>
          <w:sz w:val="24"/>
          <w:szCs w:val="24"/>
          <w:lang w:eastAsia="zh-CN"/>
        </w:rPr>
        <w:t>YL202411248</w:t>
      </w:r>
      <w:r>
        <w:rPr>
          <w:rFonts w:hint="eastAsia" w:asciiTheme="minorEastAsia" w:hAnsiTheme="minorEastAsia" w:eastAsiaTheme="minorEastAsia" w:cstheme="minorEastAsia"/>
          <w:bCs/>
          <w:sz w:val="24"/>
          <w:szCs w:val="24"/>
        </w:rPr>
        <w:t xml:space="preserve"> </w:t>
      </w:r>
    </w:p>
    <w:p w14:paraId="37CF8F7A">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3.预算金额（最高限价）：¥</w:t>
      </w:r>
      <w:r>
        <w:rPr>
          <w:rFonts w:hint="eastAsia" w:asciiTheme="minorEastAsia" w:hAnsiTheme="minorEastAsia" w:eastAsiaTheme="minorEastAsia" w:cstheme="minorEastAsia"/>
          <w:bCs/>
          <w:sz w:val="24"/>
          <w:szCs w:val="24"/>
          <w:lang w:eastAsia="zh-CN"/>
        </w:rPr>
        <w:t>1,543,527.37</w:t>
      </w:r>
      <w:r>
        <w:rPr>
          <w:rFonts w:hint="eastAsia" w:asciiTheme="minorEastAsia" w:hAnsiTheme="minorEastAsia" w:eastAsiaTheme="minorEastAsia" w:cstheme="minorEastAsia"/>
          <w:bCs/>
          <w:sz w:val="24"/>
          <w:szCs w:val="24"/>
        </w:rPr>
        <w:t>元（凡超过最高限价的，一律视为无效报价。）</w:t>
      </w:r>
    </w:p>
    <w:p w14:paraId="4DBC7AD6">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4.项目类型：</w:t>
      </w:r>
      <w:r>
        <w:rPr>
          <w:rFonts w:hint="eastAsia" w:asciiTheme="minorEastAsia" w:hAnsiTheme="minorEastAsia" w:eastAsiaTheme="minorEastAsia" w:cstheme="minorEastAsia"/>
          <w:bCs/>
          <w:sz w:val="24"/>
          <w:szCs w:val="24"/>
          <w:lang w:val="en-US" w:eastAsia="zh-CN"/>
        </w:rPr>
        <w:t>工程</w:t>
      </w:r>
      <w:r>
        <w:rPr>
          <w:rFonts w:hint="eastAsia" w:asciiTheme="minorEastAsia" w:hAnsiTheme="minorEastAsia" w:eastAsiaTheme="minorEastAsia" w:cstheme="minorEastAsia"/>
          <w:bCs/>
          <w:sz w:val="24"/>
          <w:szCs w:val="24"/>
        </w:rPr>
        <w:t>类</w:t>
      </w:r>
    </w:p>
    <w:p w14:paraId="2CA68654">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5.采购项目内容及需求详见本项目采购需求书。</w:t>
      </w:r>
    </w:p>
    <w:p w14:paraId="52ACE50E">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w:t>
      </w:r>
      <w:r>
        <w:rPr>
          <w:rFonts w:hint="eastAsia" w:asciiTheme="minorEastAsia" w:hAnsiTheme="minorEastAsia" w:eastAsiaTheme="minorEastAsia" w:cstheme="minorEastAsia"/>
          <w:bCs/>
          <w:sz w:val="24"/>
          <w:szCs w:val="24"/>
          <w:lang w:eastAsia="zh-CN"/>
        </w:rPr>
        <w:t>响应供应商</w:t>
      </w:r>
      <w:r>
        <w:rPr>
          <w:rFonts w:hint="eastAsia" w:asciiTheme="minorEastAsia" w:hAnsiTheme="minorEastAsia" w:eastAsiaTheme="minorEastAsia" w:cstheme="minorEastAsia"/>
          <w:bCs/>
          <w:sz w:val="24"/>
          <w:szCs w:val="24"/>
        </w:rPr>
        <w:t>必须对项目采购内容进行整体</w:t>
      </w:r>
      <w:r>
        <w:rPr>
          <w:rFonts w:hint="eastAsia" w:asciiTheme="minorEastAsia" w:hAnsiTheme="minorEastAsia" w:eastAsiaTheme="minorEastAsia" w:cstheme="minorEastAsia"/>
          <w:bCs/>
          <w:sz w:val="24"/>
          <w:szCs w:val="24"/>
          <w:lang w:eastAsia="zh-CN"/>
        </w:rPr>
        <w:t>响应</w:t>
      </w:r>
      <w:r>
        <w:rPr>
          <w:rFonts w:hint="eastAsia" w:asciiTheme="minorEastAsia" w:hAnsiTheme="minorEastAsia" w:eastAsiaTheme="minorEastAsia" w:cstheme="minorEastAsia"/>
          <w:bCs/>
          <w:sz w:val="24"/>
          <w:szCs w:val="24"/>
        </w:rPr>
        <w:t>，不允许仅对项目的其中部分采购内容进行</w:t>
      </w:r>
      <w:r>
        <w:rPr>
          <w:rFonts w:hint="eastAsia" w:asciiTheme="minorEastAsia" w:hAnsiTheme="minorEastAsia" w:eastAsiaTheme="minorEastAsia" w:cstheme="minorEastAsia"/>
          <w:bCs/>
          <w:sz w:val="24"/>
          <w:szCs w:val="24"/>
          <w:lang w:eastAsia="zh-CN"/>
        </w:rPr>
        <w:t>响应</w:t>
      </w:r>
      <w:r>
        <w:rPr>
          <w:rFonts w:hint="eastAsia" w:asciiTheme="minorEastAsia" w:hAnsiTheme="minorEastAsia" w:eastAsiaTheme="minorEastAsia" w:cstheme="minorEastAsia"/>
          <w:bCs/>
          <w:sz w:val="24"/>
          <w:szCs w:val="24"/>
        </w:rPr>
        <w:t>，否则将视为无效</w:t>
      </w:r>
      <w:r>
        <w:rPr>
          <w:rFonts w:hint="eastAsia" w:asciiTheme="minorEastAsia" w:hAnsiTheme="minorEastAsia" w:eastAsiaTheme="minorEastAsia" w:cstheme="minorEastAsia"/>
          <w:bCs/>
          <w:sz w:val="24"/>
          <w:szCs w:val="24"/>
          <w:lang w:eastAsia="zh-CN"/>
        </w:rPr>
        <w:t>响应</w:t>
      </w:r>
      <w:r>
        <w:rPr>
          <w:rFonts w:hint="eastAsia" w:asciiTheme="minorEastAsia" w:hAnsiTheme="minorEastAsia" w:eastAsiaTheme="minorEastAsia" w:cstheme="minorEastAsia"/>
          <w:bCs/>
          <w:sz w:val="24"/>
          <w:szCs w:val="24"/>
        </w:rPr>
        <w:t>。</w:t>
      </w:r>
    </w:p>
    <w:p w14:paraId="219D2E24">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2" w:firstLineChars="200"/>
        <w:textAlignment w:val="auto"/>
        <w:rPr>
          <w:rFonts w:hint="eastAsia" w:asciiTheme="minorEastAsia" w:hAnsiTheme="minorEastAsia" w:eastAsiaTheme="minorEastAsia" w:cstheme="minorEastAsia"/>
          <w:b/>
          <w:sz w:val="24"/>
          <w:szCs w:val="24"/>
        </w:rPr>
      </w:pPr>
      <w:bookmarkStart w:id="11" w:name="_Toc42692710"/>
      <w:bookmarkStart w:id="12" w:name="_Toc42695493"/>
      <w:r>
        <w:rPr>
          <w:rFonts w:hint="eastAsia" w:asciiTheme="minorEastAsia" w:hAnsiTheme="minorEastAsia" w:eastAsiaTheme="minorEastAsia" w:cstheme="minorEastAsia"/>
          <w:b/>
          <w:sz w:val="24"/>
          <w:szCs w:val="24"/>
        </w:rPr>
        <w:t>二、</w:t>
      </w:r>
      <w:r>
        <w:rPr>
          <w:rFonts w:hint="eastAsia" w:asciiTheme="minorEastAsia" w:hAnsiTheme="minorEastAsia" w:eastAsiaTheme="minorEastAsia" w:cstheme="minorEastAsia"/>
          <w:b/>
          <w:sz w:val="24"/>
          <w:szCs w:val="24"/>
          <w:lang w:eastAsia="zh-CN"/>
        </w:rPr>
        <w:t>响应供应商</w:t>
      </w:r>
      <w:r>
        <w:rPr>
          <w:rFonts w:hint="eastAsia" w:asciiTheme="minorEastAsia" w:hAnsiTheme="minorEastAsia" w:eastAsiaTheme="minorEastAsia" w:cstheme="minorEastAsia"/>
          <w:b/>
          <w:sz w:val="24"/>
          <w:szCs w:val="24"/>
        </w:rPr>
        <w:t>的资格要求</w:t>
      </w:r>
      <w:bookmarkEnd w:id="11"/>
      <w:bookmarkEnd w:id="12"/>
    </w:p>
    <w:p w14:paraId="1DB113E0">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1.在中华人民共和国境内具有独立承担民事责任的能力。</w:t>
      </w:r>
    </w:p>
    <w:p w14:paraId="57F37060">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2.</w:t>
      </w:r>
      <w:r>
        <w:rPr>
          <w:rFonts w:hint="eastAsia" w:asciiTheme="minorEastAsia" w:hAnsiTheme="minorEastAsia" w:eastAsiaTheme="minorEastAsia" w:cstheme="minorEastAsia"/>
          <w:bCs/>
          <w:sz w:val="24"/>
          <w:szCs w:val="24"/>
          <w:lang w:eastAsia="zh-CN"/>
        </w:rPr>
        <w:t>响应供应商</w:t>
      </w:r>
      <w:r>
        <w:rPr>
          <w:rFonts w:hint="eastAsia" w:asciiTheme="minorEastAsia" w:hAnsiTheme="minorEastAsia" w:eastAsiaTheme="minorEastAsia" w:cstheme="minorEastAsia"/>
          <w:bCs/>
          <w:sz w:val="24"/>
          <w:szCs w:val="24"/>
        </w:rPr>
        <w:t>未被列入“中国执行信息公开网”（ http://zxgk.court.gov.cn/shixin/）“记录失信被执行人”名单；“信用中国”网站(www.creditchina.gov.cn)“重大税收违法失信主体、政府采购严重违法失信行为记录名单”。同时，不处于中国政府采购网(www.ccgp.gov.cn)“政府采购严重违法失信行为信息记录” 中的禁止参加政府采购活动期间。如查询结果未显示存在失信记录，视为不存在上述不良信用记录。</w:t>
      </w:r>
    </w:p>
    <w:p w14:paraId="57C1D958">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3.落实政府采购政策需满足的资格要求：</w:t>
      </w:r>
    </w:p>
    <w:p w14:paraId="2081BFBD">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2" w:firstLineChars="200"/>
        <w:textAlignment w:val="auto"/>
        <w:rPr>
          <w:rFonts w:hint="eastAsia" w:asciiTheme="minorEastAsia" w:hAnsiTheme="minorEastAsia" w:eastAsiaTheme="minorEastAsia" w:cstheme="minorEastAsia"/>
          <w:bCs/>
          <w:i w:val="0"/>
          <w:iCs w:val="0"/>
          <w:sz w:val="24"/>
          <w:szCs w:val="24"/>
          <w:highlight w:val="none"/>
        </w:rPr>
      </w:pPr>
      <w:r>
        <w:rPr>
          <w:rFonts w:hint="eastAsia" w:asciiTheme="minorEastAsia" w:hAnsiTheme="minorEastAsia" w:eastAsiaTheme="minorEastAsia" w:cstheme="minorEastAsia"/>
          <w:b/>
          <w:bCs w:val="0"/>
          <w:i w:val="0"/>
          <w:iCs w:val="0"/>
          <w:sz w:val="24"/>
          <w:szCs w:val="24"/>
          <w:highlight w:val="none"/>
        </w:rPr>
        <w:t>本项目属于专门面向中小企业采购的项目，货物类采购项目供应商所投产品制造商须为符合本项目采购标的对应行业政策划分标准的中小微企业，工程类、服务类采购项目供应商须为符合本项目采购标的对应行业政策划分标准的中小微企业，残疾人福利性单位、监狱企业视同小型、微型企业。专门面向中小企业采购的项目不再执行价格评审优惠的扶持政策（提供中小企业声明函）。</w:t>
      </w:r>
      <w:r>
        <w:rPr>
          <w:rFonts w:hint="eastAsia" w:asciiTheme="minorEastAsia" w:hAnsiTheme="minorEastAsia" w:eastAsiaTheme="minorEastAsia" w:cstheme="minorEastAsia"/>
          <w:bCs/>
          <w:i w:val="0"/>
          <w:iCs w:val="0"/>
          <w:sz w:val="24"/>
          <w:szCs w:val="24"/>
          <w:highlight w:val="none"/>
        </w:rPr>
        <w:t>本项目采购标的根据《国家统计局关于印发&lt;统计上大中小微型企业划分办法(2017)&gt;的通知》（国统字〔2017〕213号）对应的大中小微型企业划分标准，划分为</w:t>
      </w:r>
      <w:r>
        <w:rPr>
          <w:rFonts w:hint="eastAsia" w:asciiTheme="minorEastAsia" w:hAnsiTheme="minorEastAsia" w:eastAsiaTheme="minorEastAsia" w:cstheme="minorEastAsia"/>
          <w:b/>
          <w:bCs/>
          <w:i w:val="0"/>
          <w:iCs w:val="0"/>
          <w:sz w:val="24"/>
          <w:szCs w:val="24"/>
          <w:highlight w:val="none"/>
          <w:lang w:eastAsia="zh-CN"/>
        </w:rPr>
        <w:t>建筑业</w:t>
      </w:r>
      <w:r>
        <w:rPr>
          <w:rFonts w:hint="eastAsia" w:asciiTheme="minorEastAsia" w:hAnsiTheme="minorEastAsia" w:eastAsiaTheme="minorEastAsia" w:cstheme="minorEastAsia"/>
          <w:bCs/>
          <w:i w:val="0"/>
          <w:iCs w:val="0"/>
          <w:sz w:val="24"/>
          <w:szCs w:val="24"/>
          <w:highlight w:val="none"/>
        </w:rPr>
        <w:t>。</w:t>
      </w:r>
    </w:p>
    <w:p w14:paraId="5516E3B7">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4.已登记报名并领购本项目</w:t>
      </w:r>
      <w:r>
        <w:rPr>
          <w:rFonts w:hint="eastAsia" w:asciiTheme="minorEastAsia" w:hAnsiTheme="minorEastAsia" w:eastAsiaTheme="minorEastAsia" w:cstheme="minorEastAsia"/>
          <w:bCs/>
          <w:sz w:val="24"/>
          <w:szCs w:val="24"/>
          <w:highlight w:val="none"/>
          <w:lang w:eastAsia="zh-CN"/>
        </w:rPr>
        <w:t>遴选文件</w:t>
      </w:r>
      <w:r>
        <w:rPr>
          <w:rFonts w:hint="eastAsia" w:asciiTheme="minorEastAsia" w:hAnsiTheme="minorEastAsia" w:eastAsiaTheme="minorEastAsia" w:cstheme="minorEastAsia"/>
          <w:bCs/>
          <w:sz w:val="24"/>
          <w:szCs w:val="24"/>
          <w:highlight w:val="none"/>
        </w:rPr>
        <w:t>的</w:t>
      </w:r>
      <w:r>
        <w:rPr>
          <w:rFonts w:hint="eastAsia" w:asciiTheme="minorEastAsia" w:hAnsiTheme="minorEastAsia" w:eastAsiaTheme="minorEastAsia" w:cstheme="minorEastAsia"/>
          <w:bCs/>
          <w:sz w:val="24"/>
          <w:szCs w:val="24"/>
          <w:highlight w:val="none"/>
          <w:lang w:eastAsia="zh-CN"/>
        </w:rPr>
        <w:t>响应供应商</w:t>
      </w:r>
      <w:r>
        <w:rPr>
          <w:rFonts w:hint="eastAsia" w:asciiTheme="minorEastAsia" w:hAnsiTheme="minorEastAsia" w:eastAsiaTheme="minorEastAsia" w:cstheme="minorEastAsia"/>
          <w:bCs/>
          <w:sz w:val="24"/>
          <w:szCs w:val="24"/>
          <w:highlight w:val="none"/>
        </w:rPr>
        <w:t>。</w:t>
      </w:r>
    </w:p>
    <w:p w14:paraId="0E665544">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Cs/>
          <w:color w:val="auto"/>
          <w:sz w:val="24"/>
          <w:szCs w:val="24"/>
          <w:highlight w:val="none"/>
          <w:lang w:val="en-US" w:eastAsia="zh-CN"/>
        </w:rPr>
        <w:t>5</w:t>
      </w:r>
      <w:r>
        <w:rPr>
          <w:rFonts w:hint="eastAsia" w:asciiTheme="minorEastAsia" w:hAnsiTheme="minorEastAsia" w:eastAsiaTheme="minorEastAsia" w:cstheme="minorEastAsia"/>
          <w:bCs/>
          <w:color w:val="auto"/>
          <w:sz w:val="24"/>
          <w:szCs w:val="24"/>
          <w:highlight w:val="none"/>
        </w:rPr>
        <w:t>.响应供应商应为广东政府采购智慧云平台电子卖场集采馆中</w:t>
      </w:r>
      <w:r>
        <w:rPr>
          <w:rFonts w:hint="eastAsia" w:asciiTheme="minorEastAsia" w:hAnsiTheme="minorEastAsia" w:eastAsiaTheme="minorEastAsia" w:cstheme="minorEastAsia"/>
          <w:b/>
          <w:bCs w:val="0"/>
          <w:color w:val="auto"/>
          <w:sz w:val="24"/>
          <w:szCs w:val="24"/>
          <w:highlight w:val="none"/>
        </w:rPr>
        <w:t>装修工程</w:t>
      </w:r>
      <w:r>
        <w:rPr>
          <w:rFonts w:hint="eastAsia" w:asciiTheme="minorEastAsia" w:hAnsiTheme="minorEastAsia" w:eastAsiaTheme="minorEastAsia" w:cstheme="minorEastAsia"/>
          <w:b/>
          <w:bCs/>
          <w:color w:val="auto"/>
          <w:sz w:val="24"/>
          <w:szCs w:val="24"/>
          <w:highlight w:val="none"/>
        </w:rPr>
        <w:t>或</w:t>
      </w:r>
      <w:r>
        <w:rPr>
          <w:rFonts w:hint="eastAsia" w:asciiTheme="minorEastAsia" w:hAnsiTheme="minorEastAsia" w:eastAsiaTheme="minorEastAsia" w:cstheme="minorEastAsia"/>
          <w:b/>
          <w:bCs w:val="0"/>
          <w:color w:val="auto"/>
          <w:sz w:val="24"/>
          <w:szCs w:val="24"/>
          <w:highlight w:val="none"/>
        </w:rPr>
        <w:t>修缮工程</w:t>
      </w:r>
      <w:r>
        <w:rPr>
          <w:rFonts w:hint="eastAsia" w:asciiTheme="minorEastAsia" w:hAnsiTheme="minorEastAsia" w:eastAsiaTheme="minorEastAsia" w:cstheme="minorEastAsia"/>
          <w:bCs/>
          <w:color w:val="auto"/>
          <w:sz w:val="24"/>
          <w:szCs w:val="24"/>
          <w:highlight w:val="none"/>
        </w:rPr>
        <w:t>的定点供应商，且服务区域含有“广东省本级”</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可以在成交后按照成交金额和项目内容，在广东政府采购智慧云平台电子卖场里面进行项目执行和合同签订。</w:t>
      </w:r>
      <w:r>
        <w:rPr>
          <w:rFonts w:hint="eastAsia" w:asciiTheme="minorEastAsia" w:hAnsiTheme="minorEastAsia" w:eastAsiaTheme="minorEastAsia" w:cstheme="minorEastAsia"/>
          <w:b/>
          <w:bCs/>
          <w:color w:val="auto"/>
          <w:sz w:val="24"/>
          <w:szCs w:val="24"/>
          <w:highlight w:val="none"/>
        </w:rPr>
        <w:t>（提供相关证</w:t>
      </w:r>
      <w:r>
        <w:rPr>
          <w:rFonts w:hint="eastAsia" w:asciiTheme="minorEastAsia" w:hAnsiTheme="minorEastAsia" w:eastAsiaTheme="minorEastAsia" w:cstheme="minorEastAsia"/>
          <w:b/>
          <w:bCs/>
          <w:color w:val="auto"/>
          <w:sz w:val="24"/>
          <w:szCs w:val="24"/>
        </w:rPr>
        <w:t>明材料和承诺函，格式自拟）</w:t>
      </w:r>
    </w:p>
    <w:p w14:paraId="199A3183">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Cs/>
          <w:color w:val="auto"/>
          <w:sz w:val="24"/>
          <w:szCs w:val="24"/>
          <w:highlight w:val="none"/>
        </w:rPr>
        <w:t>响应供应商</w:t>
      </w:r>
      <w:r>
        <w:rPr>
          <w:rFonts w:hint="eastAsia" w:asciiTheme="minorEastAsia" w:hAnsiTheme="minorEastAsia" w:eastAsiaTheme="minorEastAsia" w:cstheme="minorEastAsia"/>
          <w:color w:val="auto"/>
          <w:sz w:val="24"/>
          <w:szCs w:val="24"/>
        </w:rPr>
        <w:t>须具备建筑工程施工总承包二</w:t>
      </w:r>
      <w:r>
        <w:rPr>
          <w:rFonts w:hint="eastAsia" w:asciiTheme="minorEastAsia" w:hAnsiTheme="minorEastAsia" w:eastAsiaTheme="minorEastAsia" w:cstheme="minorEastAsia"/>
          <w:bCs/>
          <w:color w:val="auto"/>
          <w:sz w:val="24"/>
          <w:szCs w:val="24"/>
          <w:highlight w:val="none"/>
        </w:rPr>
        <w:t>级</w:t>
      </w:r>
      <w:r>
        <w:rPr>
          <w:rFonts w:hint="eastAsia" w:asciiTheme="minorEastAsia" w:hAnsiTheme="minorEastAsia" w:eastAsiaTheme="minorEastAsia" w:cstheme="minorEastAsia"/>
          <w:bCs/>
          <w:color w:val="auto"/>
          <w:sz w:val="24"/>
          <w:szCs w:val="24"/>
          <w:highlight w:val="none"/>
          <w:lang w:val="en-US" w:eastAsia="zh-CN"/>
        </w:rPr>
        <w:t>或</w:t>
      </w:r>
      <w:r>
        <w:rPr>
          <w:rFonts w:hint="eastAsia" w:asciiTheme="minorEastAsia" w:hAnsiTheme="minorEastAsia" w:eastAsiaTheme="minorEastAsia" w:cstheme="minorEastAsia"/>
          <w:bCs/>
          <w:color w:val="auto"/>
          <w:sz w:val="24"/>
          <w:szCs w:val="24"/>
          <w:highlight w:val="none"/>
        </w:rPr>
        <w:t>以上资质或建筑装修装饰工程专业承包二级</w:t>
      </w:r>
      <w:r>
        <w:rPr>
          <w:rFonts w:hint="eastAsia" w:asciiTheme="minorEastAsia" w:hAnsiTheme="minorEastAsia" w:eastAsiaTheme="minorEastAsia" w:cstheme="minorEastAsia"/>
          <w:bCs/>
          <w:color w:val="auto"/>
          <w:sz w:val="24"/>
          <w:szCs w:val="24"/>
          <w:highlight w:val="none"/>
          <w:lang w:val="en-US" w:eastAsia="zh-CN"/>
        </w:rPr>
        <w:t>或</w:t>
      </w:r>
      <w:r>
        <w:rPr>
          <w:rFonts w:hint="eastAsia" w:asciiTheme="minorEastAsia" w:hAnsiTheme="minorEastAsia" w:eastAsiaTheme="minorEastAsia" w:cstheme="minorEastAsia"/>
          <w:color w:val="auto"/>
          <w:sz w:val="24"/>
          <w:szCs w:val="24"/>
        </w:rPr>
        <w:t>以上资质。</w:t>
      </w:r>
      <w:r>
        <w:rPr>
          <w:rFonts w:hint="eastAsia" w:asciiTheme="minorEastAsia" w:hAnsiTheme="minorEastAsia" w:eastAsiaTheme="minorEastAsia" w:cstheme="minorEastAsia"/>
          <w:b/>
          <w:bCs/>
          <w:color w:val="auto"/>
          <w:sz w:val="24"/>
          <w:szCs w:val="24"/>
        </w:rPr>
        <w:t>(提供证书原件扫描件并加盖公章)</w:t>
      </w:r>
      <w:r>
        <w:rPr>
          <w:rFonts w:hint="eastAsia" w:asciiTheme="minorEastAsia" w:hAnsiTheme="minorEastAsia" w:eastAsiaTheme="minorEastAsia" w:cstheme="minorEastAsia"/>
          <w:color w:val="auto"/>
          <w:sz w:val="24"/>
          <w:szCs w:val="24"/>
        </w:rPr>
        <w:t>。</w:t>
      </w:r>
    </w:p>
    <w:p w14:paraId="4D08EDD6">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Cs/>
          <w:color w:val="auto"/>
          <w:sz w:val="24"/>
          <w:szCs w:val="24"/>
          <w:highlight w:val="none"/>
        </w:rPr>
        <w:t>响应供应商</w:t>
      </w:r>
      <w:r>
        <w:rPr>
          <w:rFonts w:hint="eastAsia" w:asciiTheme="minorEastAsia" w:hAnsiTheme="minorEastAsia" w:eastAsiaTheme="minorEastAsia" w:cstheme="minorEastAsia"/>
          <w:color w:val="auto"/>
          <w:sz w:val="24"/>
          <w:szCs w:val="24"/>
        </w:rPr>
        <w:t>必须具有建设行政主管部门颁发的安全生产许可证</w:t>
      </w:r>
      <w:r>
        <w:rPr>
          <w:rFonts w:hint="eastAsia" w:asciiTheme="minorEastAsia" w:hAnsiTheme="minorEastAsia" w:eastAsiaTheme="minorEastAsia" w:cstheme="minorEastAsia"/>
          <w:b/>
          <w:bCs/>
          <w:color w:val="auto"/>
          <w:sz w:val="24"/>
          <w:szCs w:val="24"/>
        </w:rPr>
        <w:t>(提供证书原件扫描件并加盖公章)。</w:t>
      </w:r>
    </w:p>
    <w:p w14:paraId="2A27B180">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lang w:val="en-US" w:eastAsia="zh-CN"/>
        </w:rPr>
        <w:t>8</w:t>
      </w:r>
      <w:r>
        <w:rPr>
          <w:rFonts w:hint="eastAsia" w:asciiTheme="minorEastAsia" w:hAnsiTheme="minorEastAsia" w:eastAsiaTheme="minorEastAsia" w:cstheme="minorEastAsia"/>
          <w:bCs/>
          <w:sz w:val="24"/>
          <w:szCs w:val="24"/>
          <w:highlight w:val="none"/>
        </w:rPr>
        <w:t>.本项目不接受联合体</w:t>
      </w:r>
      <w:r>
        <w:rPr>
          <w:rFonts w:hint="eastAsia" w:asciiTheme="minorEastAsia" w:hAnsiTheme="minorEastAsia" w:eastAsiaTheme="minorEastAsia" w:cstheme="minorEastAsia"/>
          <w:bCs/>
          <w:sz w:val="24"/>
          <w:szCs w:val="24"/>
          <w:highlight w:val="none"/>
          <w:lang w:eastAsia="zh-CN"/>
        </w:rPr>
        <w:t>响应</w:t>
      </w:r>
      <w:r>
        <w:rPr>
          <w:rFonts w:hint="eastAsia" w:asciiTheme="minorEastAsia" w:hAnsiTheme="minorEastAsia" w:eastAsiaTheme="minorEastAsia" w:cstheme="minorEastAsia"/>
          <w:bCs/>
          <w:sz w:val="24"/>
          <w:szCs w:val="24"/>
          <w:highlight w:val="none"/>
        </w:rPr>
        <w:t>。</w:t>
      </w:r>
    </w:p>
    <w:p w14:paraId="0E956DA4">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2" w:firstLineChars="200"/>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rPr>
        <w:t>三、获取</w:t>
      </w:r>
      <w:r>
        <w:rPr>
          <w:rFonts w:hint="eastAsia" w:asciiTheme="minorEastAsia" w:hAnsiTheme="minorEastAsia" w:eastAsiaTheme="minorEastAsia" w:cstheme="minorEastAsia"/>
          <w:b/>
          <w:sz w:val="24"/>
          <w:szCs w:val="24"/>
          <w:lang w:eastAsia="zh-CN"/>
        </w:rPr>
        <w:t>遴选文件</w:t>
      </w:r>
    </w:p>
    <w:p w14:paraId="25B5C5BC">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1.符合资格的</w:t>
      </w:r>
      <w:r>
        <w:rPr>
          <w:rFonts w:hint="eastAsia" w:asciiTheme="minorEastAsia" w:hAnsiTheme="minorEastAsia" w:eastAsiaTheme="minorEastAsia" w:cstheme="minorEastAsia"/>
          <w:bCs/>
          <w:sz w:val="24"/>
          <w:szCs w:val="24"/>
          <w:lang w:eastAsia="zh-CN"/>
        </w:rPr>
        <w:t>响应供应商</w:t>
      </w:r>
      <w:r>
        <w:rPr>
          <w:rFonts w:hint="eastAsia" w:asciiTheme="minorEastAsia" w:hAnsiTheme="minorEastAsia" w:eastAsiaTheme="minorEastAsia" w:cstheme="minorEastAsia"/>
          <w:bCs/>
          <w:sz w:val="24"/>
          <w:szCs w:val="24"/>
        </w:rPr>
        <w:t>应当在</w:t>
      </w:r>
      <w:r>
        <w:rPr>
          <w:rFonts w:hint="eastAsia" w:asciiTheme="minorEastAsia" w:hAnsiTheme="minorEastAsia" w:eastAsiaTheme="minorEastAsia" w:cstheme="minorEastAsia"/>
          <w:bCs/>
          <w:sz w:val="24"/>
          <w:szCs w:val="24"/>
          <w:lang w:eastAsia="zh-CN"/>
        </w:rPr>
        <w:t>202</w:t>
      </w:r>
      <w:r>
        <w:rPr>
          <w:rFonts w:hint="eastAsia" w:asciiTheme="minorEastAsia" w:hAnsiTheme="minorEastAsia" w:eastAsiaTheme="minorEastAsia" w:cstheme="minorEastAsia"/>
          <w:bCs/>
          <w:sz w:val="24"/>
          <w:szCs w:val="24"/>
          <w:lang w:val="en-US" w:eastAsia="zh-CN"/>
        </w:rPr>
        <w:t>5</w:t>
      </w:r>
      <w:r>
        <w:rPr>
          <w:rFonts w:hint="eastAsia" w:asciiTheme="minorEastAsia" w:hAnsiTheme="minorEastAsia" w:eastAsiaTheme="minorEastAsia" w:cstheme="minorEastAsia"/>
          <w:bCs/>
          <w:sz w:val="24"/>
          <w:szCs w:val="24"/>
        </w:rPr>
        <w:t>年</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1</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月</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26</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日至</w:t>
      </w:r>
      <w:r>
        <w:rPr>
          <w:rFonts w:hint="eastAsia" w:asciiTheme="minorEastAsia" w:hAnsiTheme="minorEastAsia" w:eastAsiaTheme="minorEastAsia" w:cstheme="minorEastAsia"/>
          <w:bCs/>
          <w:sz w:val="24"/>
          <w:szCs w:val="24"/>
          <w:lang w:eastAsia="zh-CN"/>
        </w:rPr>
        <w:t>202</w:t>
      </w:r>
      <w:r>
        <w:rPr>
          <w:rFonts w:hint="eastAsia" w:asciiTheme="minorEastAsia" w:hAnsiTheme="minorEastAsia" w:eastAsiaTheme="minorEastAsia" w:cstheme="minorEastAsia"/>
          <w:bCs/>
          <w:sz w:val="24"/>
          <w:szCs w:val="24"/>
          <w:lang w:val="en-US" w:eastAsia="zh-CN"/>
        </w:rPr>
        <w:t>5</w:t>
      </w:r>
      <w:r>
        <w:rPr>
          <w:rFonts w:hint="eastAsia" w:asciiTheme="minorEastAsia" w:hAnsiTheme="minorEastAsia" w:eastAsiaTheme="minorEastAsia" w:cstheme="minorEastAsia"/>
          <w:bCs/>
          <w:sz w:val="24"/>
          <w:szCs w:val="24"/>
        </w:rPr>
        <w:t>年</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2</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月</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8</w:t>
      </w:r>
      <w:bookmarkStart w:id="943" w:name="_GoBack"/>
      <w:bookmarkEnd w:id="943"/>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日期间（每天上午 09:00至12:00，下午14:30至17:30，法定节假日及双休除外）到</w:t>
      </w:r>
      <w:r>
        <w:rPr>
          <w:rFonts w:hint="eastAsia" w:asciiTheme="minorEastAsia" w:hAnsiTheme="minorEastAsia" w:eastAsiaTheme="minorEastAsia" w:cstheme="minorEastAsia"/>
          <w:b/>
          <w:bCs/>
          <w:sz w:val="24"/>
          <w:szCs w:val="24"/>
          <w:lang w:eastAsia="zh-CN"/>
        </w:rPr>
        <w:t>广州市天河区广汕二路13号天河软件园凤凰园区三楼307</w:t>
      </w:r>
      <w:r>
        <w:rPr>
          <w:rFonts w:hint="eastAsia" w:asciiTheme="minorEastAsia" w:hAnsiTheme="minorEastAsia" w:eastAsiaTheme="minorEastAsia" w:cstheme="minorEastAsia"/>
          <w:bCs/>
          <w:sz w:val="24"/>
          <w:szCs w:val="24"/>
        </w:rPr>
        <w:t>报名购买</w:t>
      </w:r>
      <w:r>
        <w:rPr>
          <w:rFonts w:hint="eastAsia" w:asciiTheme="minorEastAsia" w:hAnsiTheme="minorEastAsia" w:eastAsiaTheme="minorEastAsia" w:cstheme="minorEastAsia"/>
          <w:bCs/>
          <w:sz w:val="24"/>
          <w:szCs w:val="24"/>
          <w:lang w:eastAsia="zh-CN"/>
        </w:rPr>
        <w:t>遴选文件</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lang w:eastAsia="zh-CN"/>
        </w:rPr>
        <w:t>遴选文件</w:t>
      </w:r>
      <w:r>
        <w:rPr>
          <w:rFonts w:hint="eastAsia" w:asciiTheme="minorEastAsia" w:hAnsiTheme="minorEastAsia" w:eastAsiaTheme="minorEastAsia" w:cstheme="minorEastAsia"/>
          <w:bCs/>
          <w:sz w:val="24"/>
          <w:szCs w:val="24"/>
        </w:rPr>
        <w:t>300元/套，售后不退。</w:t>
      </w:r>
    </w:p>
    <w:p w14:paraId="0D719E17">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2.报名方式：（1）报名资料：《文件发售登记表》和法定代表人证明/法定代表人授权委托书（须加盖单位公章，《文件发售登记表》请登录http://www.ylzb.top/网站进行下载。）（2）线下报名的请带齐报名资料到</w:t>
      </w:r>
      <w:r>
        <w:rPr>
          <w:rFonts w:hint="eastAsia" w:asciiTheme="minorEastAsia" w:hAnsiTheme="minorEastAsia" w:eastAsiaTheme="minorEastAsia" w:cstheme="minorEastAsia"/>
          <w:bCs/>
          <w:sz w:val="24"/>
          <w:szCs w:val="24"/>
          <w:lang w:eastAsia="zh-CN"/>
        </w:rPr>
        <w:t>遴选服务单位</w:t>
      </w:r>
      <w:r>
        <w:rPr>
          <w:rFonts w:hint="eastAsia" w:asciiTheme="minorEastAsia" w:hAnsiTheme="minorEastAsia" w:eastAsiaTheme="minorEastAsia" w:cstheme="minorEastAsia"/>
          <w:bCs/>
          <w:sz w:val="24"/>
          <w:szCs w:val="24"/>
        </w:rPr>
        <w:t>处办理报名登记，线上报名的请将报名资料彩色扫描发至</w:t>
      </w:r>
      <w:r>
        <w:rPr>
          <w:rFonts w:hint="eastAsia" w:asciiTheme="minorEastAsia" w:hAnsiTheme="minorEastAsia" w:eastAsiaTheme="minorEastAsia" w:cstheme="minorEastAsia"/>
          <w:bCs/>
          <w:sz w:val="24"/>
          <w:szCs w:val="24"/>
          <w:lang w:eastAsia="zh-CN"/>
        </w:rPr>
        <w:t>遴选服务单位</w:t>
      </w:r>
      <w:r>
        <w:rPr>
          <w:rFonts w:hint="eastAsia" w:asciiTheme="minorEastAsia" w:hAnsiTheme="minorEastAsia" w:eastAsiaTheme="minorEastAsia" w:cstheme="minorEastAsia"/>
          <w:bCs/>
          <w:sz w:val="24"/>
          <w:szCs w:val="24"/>
        </w:rPr>
        <w:t>邮箱（ylgdzb@126.com），并附上报名费转账回单。（3）如对报名有任何疑问请致电查询：020-37889367-0</w:t>
      </w:r>
    </w:p>
    <w:p w14:paraId="01A5CB19">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3.报名费用采用现金支付或公账汇款，若为其他方式，须提交手续费用。</w:t>
      </w:r>
    </w:p>
    <w:p w14:paraId="77CDE937">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公账汇款账号信息，开户银行名称：中国农业银行股份有限公司广州智慧城支行</w:t>
      </w:r>
    </w:p>
    <w:p w14:paraId="707238FA">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单位名称：粤廉（广东）招标代理有限公司</w:t>
      </w:r>
    </w:p>
    <w:p w14:paraId="637C9559">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账号：4406 0801 0400 04812（只接受以潜在</w:t>
      </w:r>
      <w:r>
        <w:rPr>
          <w:rFonts w:hint="eastAsia" w:asciiTheme="minorEastAsia" w:hAnsiTheme="minorEastAsia" w:eastAsiaTheme="minorEastAsia" w:cstheme="minorEastAsia"/>
          <w:bCs/>
          <w:sz w:val="24"/>
          <w:szCs w:val="24"/>
          <w:lang w:eastAsia="zh-CN"/>
        </w:rPr>
        <w:t>响应供应商</w:t>
      </w:r>
      <w:r>
        <w:rPr>
          <w:rFonts w:hint="eastAsia" w:asciiTheme="minorEastAsia" w:hAnsiTheme="minorEastAsia" w:eastAsiaTheme="minorEastAsia" w:cstheme="minorEastAsia"/>
          <w:bCs/>
          <w:sz w:val="24"/>
          <w:szCs w:val="24"/>
        </w:rPr>
        <w:t>名义的汇款，汇款时备注项目名称及</w:t>
      </w:r>
      <w:r>
        <w:rPr>
          <w:rFonts w:hint="eastAsia" w:asciiTheme="minorEastAsia" w:hAnsiTheme="minorEastAsia" w:eastAsiaTheme="minorEastAsia" w:cstheme="minorEastAsia"/>
          <w:bCs/>
          <w:sz w:val="24"/>
          <w:szCs w:val="24"/>
          <w:lang w:eastAsia="zh-CN"/>
        </w:rPr>
        <w:t>响应供应商</w:t>
      </w:r>
      <w:r>
        <w:rPr>
          <w:rFonts w:hint="eastAsia" w:asciiTheme="minorEastAsia" w:hAnsiTheme="minorEastAsia" w:eastAsiaTheme="minorEastAsia" w:cstheme="minorEastAsia"/>
          <w:bCs/>
          <w:sz w:val="24"/>
          <w:szCs w:val="24"/>
        </w:rPr>
        <w:t>名称）</w:t>
      </w:r>
    </w:p>
    <w:p w14:paraId="16ED4A34">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w:t>
      </w:r>
      <w:r>
        <w:rPr>
          <w:rFonts w:hint="eastAsia" w:asciiTheme="minorEastAsia" w:hAnsiTheme="minorEastAsia" w:eastAsiaTheme="minorEastAsia" w:cstheme="minorEastAsia"/>
          <w:b/>
          <w:sz w:val="24"/>
          <w:szCs w:val="24"/>
          <w:lang w:eastAsia="zh-CN"/>
        </w:rPr>
        <w:t>响应文件</w:t>
      </w:r>
      <w:r>
        <w:rPr>
          <w:rFonts w:hint="eastAsia" w:asciiTheme="minorEastAsia" w:hAnsiTheme="minorEastAsia" w:eastAsiaTheme="minorEastAsia" w:cstheme="minorEastAsia"/>
          <w:b/>
          <w:sz w:val="24"/>
          <w:szCs w:val="24"/>
        </w:rPr>
        <w:t>的提交</w:t>
      </w:r>
    </w:p>
    <w:p w14:paraId="3C54CD4D">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提交</w:t>
      </w:r>
      <w:r>
        <w:rPr>
          <w:rFonts w:hint="eastAsia" w:asciiTheme="minorEastAsia" w:hAnsiTheme="minorEastAsia" w:eastAsiaTheme="minorEastAsia" w:cstheme="minorEastAsia"/>
          <w:b/>
          <w:sz w:val="24"/>
          <w:szCs w:val="24"/>
          <w:lang w:eastAsia="zh-CN"/>
        </w:rPr>
        <w:t>响应文件</w:t>
      </w:r>
      <w:r>
        <w:rPr>
          <w:rFonts w:hint="eastAsia" w:asciiTheme="minorEastAsia" w:hAnsiTheme="minorEastAsia" w:eastAsiaTheme="minorEastAsia" w:cstheme="minorEastAsia"/>
          <w:b/>
          <w:sz w:val="24"/>
          <w:szCs w:val="24"/>
        </w:rPr>
        <w:t>时间：</w:t>
      </w:r>
      <w:r>
        <w:rPr>
          <w:rFonts w:hint="eastAsia" w:asciiTheme="minorEastAsia" w:hAnsiTheme="minorEastAsia" w:eastAsiaTheme="minorEastAsia" w:cstheme="minorEastAsia"/>
          <w:sz w:val="24"/>
          <w:szCs w:val="24"/>
          <w:u w:val="single"/>
          <w:lang w:eastAsia="zh-CN"/>
        </w:rPr>
        <w:t>202</w:t>
      </w:r>
      <w:r>
        <w:rPr>
          <w:rFonts w:hint="eastAsia" w:asciiTheme="minorEastAsia" w:hAnsiTheme="minorEastAsia" w:eastAsiaTheme="minorEastAsia" w:cstheme="minorEastAsia"/>
          <w:sz w:val="24"/>
          <w:szCs w:val="24"/>
          <w:u w:val="single"/>
          <w:lang w:val="en-US" w:eastAsia="zh-CN"/>
        </w:rPr>
        <w:t>5</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2</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18</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9</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30</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10</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00</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分（北京时间）</w:t>
      </w:r>
    </w:p>
    <w:p w14:paraId="4C0AFF5A">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eastAsia="zh-CN"/>
        </w:rPr>
        <w:t>响应文件</w:t>
      </w:r>
      <w:r>
        <w:rPr>
          <w:rFonts w:hint="eastAsia" w:asciiTheme="minorEastAsia" w:hAnsiTheme="minorEastAsia" w:eastAsiaTheme="minorEastAsia" w:cstheme="minorEastAsia"/>
          <w:b/>
          <w:sz w:val="24"/>
          <w:szCs w:val="24"/>
        </w:rPr>
        <w:t>截止时间及</w:t>
      </w:r>
      <w:r>
        <w:rPr>
          <w:rFonts w:hint="eastAsia" w:asciiTheme="minorEastAsia" w:hAnsiTheme="minorEastAsia" w:eastAsiaTheme="minorEastAsia" w:cstheme="minorEastAsia"/>
          <w:b/>
          <w:sz w:val="24"/>
          <w:szCs w:val="24"/>
          <w:lang w:eastAsia="zh-CN"/>
        </w:rPr>
        <w:t>唱价</w:t>
      </w:r>
      <w:r>
        <w:rPr>
          <w:rFonts w:hint="eastAsia" w:asciiTheme="minorEastAsia" w:hAnsiTheme="minorEastAsia" w:eastAsiaTheme="minorEastAsia" w:cstheme="minorEastAsia"/>
          <w:b/>
          <w:sz w:val="24"/>
          <w:szCs w:val="24"/>
        </w:rPr>
        <w:t>时间：</w:t>
      </w:r>
      <w:r>
        <w:rPr>
          <w:rFonts w:hint="eastAsia" w:asciiTheme="minorEastAsia" w:hAnsiTheme="minorEastAsia" w:eastAsiaTheme="minorEastAsia" w:cstheme="minorEastAsia"/>
          <w:sz w:val="24"/>
          <w:szCs w:val="24"/>
          <w:u w:val="single"/>
          <w:lang w:eastAsia="zh-CN"/>
        </w:rPr>
        <w:t>202</w:t>
      </w:r>
      <w:r>
        <w:rPr>
          <w:rFonts w:hint="eastAsia" w:asciiTheme="minorEastAsia" w:hAnsiTheme="minorEastAsia" w:eastAsiaTheme="minorEastAsia" w:cstheme="minorEastAsia"/>
          <w:sz w:val="24"/>
          <w:szCs w:val="24"/>
          <w:u w:val="single"/>
          <w:lang w:val="en-US" w:eastAsia="zh-CN"/>
        </w:rPr>
        <w:t>5</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2</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18</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10</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00</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分（北京时间）</w:t>
      </w:r>
    </w:p>
    <w:p w14:paraId="3AC2EB1A">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2"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rPr>
        <w:t>提交地点：</w:t>
      </w:r>
      <w:r>
        <w:rPr>
          <w:rFonts w:hint="eastAsia" w:asciiTheme="minorEastAsia" w:hAnsiTheme="minorEastAsia" w:eastAsiaTheme="minorEastAsia" w:cstheme="minorEastAsia"/>
          <w:sz w:val="24"/>
          <w:szCs w:val="24"/>
          <w:lang w:eastAsia="zh-CN"/>
        </w:rPr>
        <w:t>广州市天河区广汕二路13号天河软件园凤凰园区三楼307</w:t>
      </w:r>
    </w:p>
    <w:p w14:paraId="2A636466">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2" w:firstLineChars="20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sz w:val="24"/>
          <w:szCs w:val="24"/>
        </w:rPr>
        <w:t>五、公</w:t>
      </w:r>
      <w:r>
        <w:rPr>
          <w:rFonts w:hint="eastAsia" w:asciiTheme="minorEastAsia" w:hAnsiTheme="minorEastAsia" w:eastAsiaTheme="minorEastAsia" w:cstheme="minorEastAsia"/>
          <w:b/>
          <w:color w:val="auto"/>
          <w:sz w:val="24"/>
          <w:szCs w:val="24"/>
        </w:rPr>
        <w:t>告期限</w:t>
      </w:r>
    </w:p>
    <w:p w14:paraId="6A9C05DC">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自本公告发布之日起</w:t>
      </w:r>
      <w:r>
        <w:rPr>
          <w:rFonts w:hint="eastAsia" w:asciiTheme="minorEastAsia" w:hAnsiTheme="minorEastAsia" w:eastAsiaTheme="minorEastAsia" w:cstheme="minorEastAsia"/>
          <w:bCs/>
          <w:color w:val="auto"/>
          <w:sz w:val="24"/>
          <w:szCs w:val="24"/>
          <w:lang w:val="en-US" w:eastAsia="zh-CN"/>
        </w:rPr>
        <w:t>5</w:t>
      </w:r>
      <w:r>
        <w:rPr>
          <w:rFonts w:hint="eastAsia" w:asciiTheme="minorEastAsia" w:hAnsiTheme="minorEastAsia" w:eastAsiaTheme="minorEastAsia" w:cstheme="minorEastAsia"/>
          <w:bCs/>
          <w:color w:val="auto"/>
          <w:sz w:val="24"/>
          <w:szCs w:val="24"/>
        </w:rPr>
        <w:t>个工作日。</w:t>
      </w:r>
    </w:p>
    <w:p w14:paraId="24A910D7">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六、对本次采购项目提出询问，请按以下方式联系</w:t>
      </w:r>
    </w:p>
    <w:p w14:paraId="7C36E4B2">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1.采购人信息</w:t>
      </w:r>
    </w:p>
    <w:p w14:paraId="4D05A3A3">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名称：</w:t>
      </w:r>
      <w:r>
        <w:rPr>
          <w:rFonts w:hint="eastAsia" w:asciiTheme="minorEastAsia" w:hAnsiTheme="minorEastAsia" w:eastAsiaTheme="minorEastAsia" w:cstheme="minorEastAsia"/>
          <w:bCs/>
          <w:sz w:val="24"/>
          <w:szCs w:val="24"/>
          <w:lang w:eastAsia="zh-CN"/>
        </w:rPr>
        <w:t>广东省粤东技师学院</w:t>
      </w:r>
    </w:p>
    <w:p w14:paraId="745FF2EF">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地址：</w:t>
      </w:r>
      <w:r>
        <w:rPr>
          <w:rFonts w:hint="eastAsia" w:asciiTheme="minorEastAsia" w:hAnsiTheme="minorEastAsia" w:eastAsiaTheme="minorEastAsia" w:cstheme="minorEastAsia"/>
          <w:bCs/>
          <w:sz w:val="24"/>
          <w:szCs w:val="24"/>
          <w:lang w:eastAsia="zh-CN"/>
        </w:rPr>
        <w:t>汕头市金新路 85 号</w:t>
      </w:r>
    </w:p>
    <w:p w14:paraId="614C48A1">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联系人：</w:t>
      </w:r>
      <w:r>
        <w:rPr>
          <w:rFonts w:hint="eastAsia" w:asciiTheme="minorEastAsia" w:hAnsiTheme="minorEastAsia" w:eastAsiaTheme="minorEastAsia" w:cstheme="minorEastAsia"/>
          <w:bCs/>
          <w:sz w:val="24"/>
          <w:szCs w:val="24"/>
          <w:lang w:eastAsia="zh-CN"/>
        </w:rPr>
        <w:t>夏</w:t>
      </w:r>
      <w:r>
        <w:rPr>
          <w:rFonts w:hint="eastAsia" w:asciiTheme="minorEastAsia" w:hAnsiTheme="minorEastAsia" w:eastAsiaTheme="minorEastAsia" w:cstheme="minorEastAsia"/>
          <w:bCs/>
          <w:sz w:val="24"/>
          <w:szCs w:val="24"/>
          <w:lang w:val="en-US" w:eastAsia="zh-CN"/>
        </w:rPr>
        <w:t>老师</w:t>
      </w:r>
    </w:p>
    <w:p w14:paraId="65B79B1C">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rPr>
        <w:t>联系电话：</w:t>
      </w:r>
      <w:r>
        <w:rPr>
          <w:rFonts w:hint="eastAsia" w:asciiTheme="minorEastAsia" w:hAnsiTheme="minorEastAsia" w:eastAsiaTheme="minorEastAsia" w:cstheme="minorEastAsia"/>
          <w:bCs/>
          <w:sz w:val="24"/>
          <w:szCs w:val="24"/>
          <w:lang w:val="en-US" w:eastAsia="zh-CN"/>
        </w:rPr>
        <w:t>0754</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lang w:val="en-US" w:eastAsia="zh-CN"/>
        </w:rPr>
        <w:t>89690115</w:t>
      </w:r>
    </w:p>
    <w:p w14:paraId="3CC45F4D">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w:t>
      </w:r>
      <w:r>
        <w:rPr>
          <w:rFonts w:hint="eastAsia" w:asciiTheme="minorEastAsia" w:hAnsiTheme="minorEastAsia" w:eastAsiaTheme="minorEastAsia" w:cstheme="minorEastAsia"/>
          <w:bCs/>
          <w:sz w:val="24"/>
          <w:szCs w:val="24"/>
          <w:lang w:eastAsia="zh-CN"/>
        </w:rPr>
        <w:t>遴选服务单位</w:t>
      </w:r>
      <w:r>
        <w:rPr>
          <w:rFonts w:hint="eastAsia" w:asciiTheme="minorEastAsia" w:hAnsiTheme="minorEastAsia" w:eastAsiaTheme="minorEastAsia" w:cstheme="minorEastAsia"/>
          <w:bCs/>
          <w:sz w:val="24"/>
          <w:szCs w:val="24"/>
        </w:rPr>
        <w:t>信息</w:t>
      </w:r>
    </w:p>
    <w:p w14:paraId="77D82241">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名称：粤廉（广东）招标代理有限公司</w:t>
      </w:r>
    </w:p>
    <w:p w14:paraId="08DA3D65">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地址：</w:t>
      </w:r>
      <w:r>
        <w:rPr>
          <w:rFonts w:hint="eastAsia" w:asciiTheme="minorEastAsia" w:hAnsiTheme="minorEastAsia" w:eastAsiaTheme="minorEastAsia" w:cstheme="minorEastAsia"/>
          <w:bCs/>
          <w:sz w:val="24"/>
          <w:szCs w:val="24"/>
          <w:lang w:eastAsia="zh-CN"/>
        </w:rPr>
        <w:t>广州市天河区广汕二路13号天河软件园凤凰园区三楼307</w:t>
      </w:r>
    </w:p>
    <w:p w14:paraId="0E818A32">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项目联系人：</w:t>
      </w:r>
      <w:r>
        <w:rPr>
          <w:rFonts w:hint="eastAsia" w:asciiTheme="minorEastAsia" w:hAnsiTheme="minorEastAsia" w:eastAsiaTheme="minorEastAsia" w:cstheme="minorEastAsia"/>
          <w:bCs/>
          <w:sz w:val="24"/>
          <w:szCs w:val="24"/>
          <w:lang w:val="en-US" w:eastAsia="zh-CN"/>
        </w:rPr>
        <w:t>陈</w:t>
      </w:r>
      <w:r>
        <w:rPr>
          <w:rFonts w:hint="eastAsia" w:asciiTheme="minorEastAsia" w:hAnsiTheme="minorEastAsia" w:eastAsiaTheme="minorEastAsia" w:cstheme="minorEastAsia"/>
          <w:bCs/>
          <w:sz w:val="24"/>
          <w:szCs w:val="24"/>
        </w:rPr>
        <w:t>小姐</w:t>
      </w:r>
    </w:p>
    <w:p w14:paraId="3709039F">
      <w:pPr>
        <w:pStyle w:val="22"/>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联系方式：020-37889367</w:t>
      </w:r>
    </w:p>
    <w:p w14:paraId="3E3BB350">
      <w:pPr>
        <w:widowControl/>
        <w:jc w:val="left"/>
        <w:rPr>
          <w:rFonts w:ascii="微软雅黑" w:hAnsi="微软雅黑" w:eastAsia="微软雅黑"/>
          <w:b/>
          <w:sz w:val="28"/>
        </w:rPr>
      </w:pPr>
      <w:bookmarkStart w:id="13" w:name="_Toc297209393"/>
      <w:r>
        <w:rPr>
          <w:rFonts w:ascii="微软雅黑" w:hAnsi="微软雅黑" w:eastAsia="微软雅黑"/>
          <w:b/>
          <w:sz w:val="28"/>
        </w:rPr>
        <w:br w:type="page"/>
      </w:r>
    </w:p>
    <w:p w14:paraId="085FC050">
      <w:pPr>
        <w:spacing w:line="360" w:lineRule="auto"/>
        <w:jc w:val="center"/>
        <w:outlineLvl w:val="0"/>
      </w:pPr>
      <w:bookmarkStart w:id="14" w:name="_Toc15280"/>
      <w:bookmarkStart w:id="15" w:name="_Toc32535"/>
      <w:r>
        <w:rPr>
          <w:rFonts w:hint="eastAsia" w:ascii="微软雅黑" w:hAnsi="微软雅黑" w:eastAsia="微软雅黑"/>
          <w:b/>
          <w:sz w:val="28"/>
        </w:rPr>
        <w:t>第二章 采购需求</w:t>
      </w:r>
      <w:bookmarkEnd w:id="13"/>
      <w:r>
        <w:rPr>
          <w:rFonts w:hint="eastAsia" w:ascii="微软雅黑" w:hAnsi="微软雅黑" w:eastAsia="微软雅黑"/>
          <w:b/>
          <w:sz w:val="28"/>
        </w:rPr>
        <w:t>书</w:t>
      </w:r>
      <w:bookmarkEnd w:id="14"/>
      <w:bookmarkEnd w:id="15"/>
    </w:p>
    <w:p w14:paraId="138B39E4">
      <w:pPr>
        <w:adjustRightInd w:val="0"/>
        <w:snapToGrid w:val="0"/>
        <w:spacing w:line="360" w:lineRule="auto"/>
        <w:ind w:firstLine="420" w:firstLineChars="200"/>
        <w:rPr>
          <w:rFonts w:ascii="仿宋" w:hAnsi="仿宋" w:eastAsia="仿宋" w:cs="宋体"/>
          <w:color w:val="000000"/>
          <w:szCs w:val="21"/>
        </w:rPr>
      </w:pPr>
      <w:bookmarkStart w:id="16" w:name="_Toc513195896"/>
      <w:bookmarkStart w:id="17" w:name="_Toc513190414"/>
      <w:bookmarkStart w:id="18" w:name="_Toc513205780"/>
      <w:bookmarkStart w:id="19" w:name="_Toc513453750"/>
      <w:bookmarkStart w:id="20" w:name="_Toc187465103"/>
      <w:bookmarkStart w:id="21" w:name="_Toc75028769"/>
      <w:r>
        <w:rPr>
          <w:rFonts w:hint="eastAsia" w:ascii="仿宋" w:hAnsi="仿宋" w:eastAsia="仿宋" w:cs="宋体"/>
          <w:color w:val="000000"/>
          <w:szCs w:val="21"/>
        </w:rPr>
        <w:t>注：1.打“★”号条款为实质性条款，若有任何一条负偏离或不满足则导致</w:t>
      </w:r>
      <w:r>
        <w:rPr>
          <w:rFonts w:hint="eastAsia" w:ascii="仿宋" w:hAnsi="仿宋" w:eastAsia="仿宋" w:cs="宋体"/>
          <w:color w:val="000000"/>
          <w:szCs w:val="21"/>
          <w:lang w:eastAsia="zh-CN"/>
        </w:rPr>
        <w:t>响应</w:t>
      </w:r>
      <w:r>
        <w:rPr>
          <w:rFonts w:hint="eastAsia" w:ascii="仿宋" w:hAnsi="仿宋" w:eastAsia="仿宋" w:cs="宋体"/>
          <w:color w:val="000000"/>
          <w:szCs w:val="21"/>
        </w:rPr>
        <w:t>无效。</w:t>
      </w:r>
    </w:p>
    <w:p w14:paraId="2E26435E">
      <w:pPr>
        <w:adjustRightInd w:val="0"/>
        <w:snapToGrid w:val="0"/>
        <w:spacing w:line="360" w:lineRule="auto"/>
        <w:ind w:firstLine="420" w:firstLineChars="200"/>
        <w:rPr>
          <w:rFonts w:ascii="仿宋" w:hAnsi="仿宋" w:eastAsia="仿宋" w:cs="宋体"/>
          <w:color w:val="000000"/>
          <w:szCs w:val="21"/>
        </w:rPr>
      </w:pPr>
      <w:r>
        <w:rPr>
          <w:rFonts w:hint="eastAsia" w:ascii="仿宋" w:hAnsi="仿宋" w:eastAsia="仿宋" w:cs="宋体"/>
          <w:color w:val="000000"/>
          <w:szCs w:val="21"/>
        </w:rPr>
        <w:t>2.打“▲”号条款为重要技术参数（如有），若有部分“▲”条款未响应或不满足，将根据评审要求影响其得分，但不作为无效</w:t>
      </w:r>
      <w:r>
        <w:rPr>
          <w:rFonts w:hint="eastAsia" w:ascii="仿宋" w:hAnsi="仿宋" w:eastAsia="仿宋" w:cs="宋体"/>
          <w:color w:val="000000"/>
          <w:szCs w:val="21"/>
          <w:lang w:eastAsia="zh-CN"/>
        </w:rPr>
        <w:t>响应</w:t>
      </w:r>
      <w:r>
        <w:rPr>
          <w:rFonts w:hint="eastAsia" w:ascii="仿宋" w:hAnsi="仿宋" w:eastAsia="仿宋" w:cs="宋体"/>
          <w:color w:val="000000"/>
          <w:szCs w:val="21"/>
        </w:rPr>
        <w:t>条款。</w:t>
      </w:r>
    </w:p>
    <w:bookmarkEnd w:id="16"/>
    <w:bookmarkEnd w:id="17"/>
    <w:bookmarkEnd w:id="18"/>
    <w:bookmarkEnd w:id="19"/>
    <w:p w14:paraId="6ED2F1C3">
      <w:pPr>
        <w:spacing w:line="360" w:lineRule="auto"/>
        <w:outlineLvl w:val="1"/>
        <w:rPr>
          <w:b/>
          <w:sz w:val="24"/>
          <w:szCs w:val="28"/>
        </w:rPr>
      </w:pPr>
      <w:bookmarkStart w:id="22" w:name="_Toc498978624"/>
      <w:bookmarkStart w:id="23" w:name="_Toc504062514"/>
      <w:bookmarkStart w:id="24" w:name="_Toc499278248"/>
      <w:bookmarkStart w:id="25" w:name="_Toc23241"/>
      <w:bookmarkStart w:id="26" w:name="_Toc496096022"/>
      <w:bookmarkStart w:id="27" w:name="_Toc16475"/>
      <w:bookmarkStart w:id="28" w:name="_Toc9935681"/>
      <w:bookmarkStart w:id="29" w:name="_Toc504122250"/>
      <w:bookmarkStart w:id="30" w:name="_Toc91288810"/>
      <w:bookmarkStart w:id="31" w:name="_Toc513652304"/>
      <w:bookmarkStart w:id="32" w:name="_Toc11665076"/>
      <w:bookmarkStart w:id="33" w:name="_Toc55981043"/>
      <w:bookmarkStart w:id="34" w:name="_Toc92978542"/>
      <w:bookmarkStart w:id="35" w:name="_Toc22529"/>
      <w:bookmarkStart w:id="36" w:name="_Toc504741246"/>
      <w:bookmarkStart w:id="37" w:name="_Toc23665"/>
      <w:bookmarkStart w:id="38" w:name="_Toc93997406"/>
      <w:bookmarkStart w:id="39" w:name="_Toc5797"/>
      <w:bookmarkStart w:id="40" w:name="_Toc503169236"/>
      <w:bookmarkStart w:id="41" w:name="_Toc11665898"/>
      <w:bookmarkStart w:id="42" w:name="_Toc515971189"/>
      <w:bookmarkStart w:id="43" w:name="_Toc496123816"/>
      <w:bookmarkStart w:id="44" w:name="_Toc10132668"/>
      <w:bookmarkStart w:id="45" w:name="_Toc92459743"/>
      <w:bookmarkStart w:id="46" w:name="_Toc90148904"/>
      <w:bookmarkStart w:id="47" w:name="_Toc498265669"/>
      <w:bookmarkStart w:id="48" w:name="_Toc16642"/>
      <w:bookmarkStart w:id="49" w:name="_Toc514163556"/>
      <w:bookmarkStart w:id="50" w:name="_Toc498079514"/>
      <w:r>
        <w:rPr>
          <w:rFonts w:hint="eastAsia"/>
          <w:b/>
          <w:sz w:val="24"/>
          <w:szCs w:val="28"/>
        </w:rPr>
        <w:t>一、项目概况</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4A65C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8"/>
          <w:shd w:val="clear" w:color="auto" w:fill="FFFFFF"/>
        </w:rPr>
      </w:pPr>
      <w:r>
        <w:rPr>
          <w:rFonts w:hint="eastAsia" w:asciiTheme="minorEastAsia" w:hAnsiTheme="minorEastAsia" w:eastAsiaTheme="minorEastAsia" w:cstheme="minorEastAsia"/>
          <w:color w:val="000000"/>
          <w:sz w:val="24"/>
          <w:szCs w:val="28"/>
          <w:shd w:val="clear" w:color="auto" w:fill="FFFFFF"/>
        </w:rPr>
        <w:t>（一）项目名称：</w:t>
      </w:r>
      <w:r>
        <w:rPr>
          <w:rFonts w:hint="eastAsia" w:asciiTheme="minorEastAsia" w:hAnsiTheme="minorEastAsia" w:eastAsiaTheme="minorEastAsia" w:cstheme="minorEastAsia"/>
          <w:bCs/>
          <w:sz w:val="24"/>
          <w:szCs w:val="28"/>
          <w:lang w:eastAsia="zh-CN"/>
        </w:rPr>
        <w:t>广东省粤东技师学院海天数智化综合实训基地改造工程</w:t>
      </w:r>
    </w:p>
    <w:p w14:paraId="232BCE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8"/>
          <w:shd w:val="clear" w:color="auto" w:fill="FFFFFF"/>
        </w:rPr>
      </w:pPr>
      <w:r>
        <w:rPr>
          <w:rFonts w:hint="eastAsia" w:asciiTheme="minorEastAsia" w:hAnsiTheme="minorEastAsia" w:eastAsiaTheme="minorEastAsia" w:cstheme="minorEastAsia"/>
          <w:color w:val="000000"/>
          <w:sz w:val="24"/>
          <w:szCs w:val="28"/>
          <w:shd w:val="clear" w:color="auto" w:fill="FFFFFF"/>
        </w:rPr>
        <w:t>（二）预算金额：¥</w:t>
      </w:r>
      <w:r>
        <w:rPr>
          <w:rFonts w:hint="eastAsia" w:asciiTheme="minorEastAsia" w:hAnsiTheme="minorEastAsia" w:eastAsiaTheme="minorEastAsia" w:cstheme="minorEastAsia"/>
          <w:bCs/>
          <w:sz w:val="24"/>
          <w:lang w:eastAsia="zh-CN"/>
        </w:rPr>
        <w:t>1,543,527.37</w:t>
      </w:r>
      <w:r>
        <w:rPr>
          <w:rFonts w:hint="eastAsia" w:asciiTheme="minorEastAsia" w:hAnsiTheme="minorEastAsia" w:eastAsiaTheme="minorEastAsia" w:cstheme="minorEastAsia"/>
          <w:color w:val="000000"/>
          <w:sz w:val="24"/>
          <w:szCs w:val="28"/>
          <w:shd w:val="clear" w:color="auto" w:fill="FFFFFF"/>
        </w:rPr>
        <w:t>元</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color w:val="auto"/>
          <w:sz w:val="24"/>
          <w:szCs w:val="24"/>
          <w:highlight w:val="none"/>
          <w:lang w:val="en-US" w:eastAsia="zh-CN"/>
        </w:rPr>
        <w:t>其中绿色施工安全防护措施费¥85,444.98元，暂列金额</w:t>
      </w: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¥118,969.80元</w:t>
      </w: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作为不可竞争费</w:t>
      </w:r>
      <w:r>
        <w:rPr>
          <w:rFonts w:hint="eastAsia" w:asciiTheme="minorEastAsia" w:hAnsiTheme="minorEastAsia" w:eastAsiaTheme="minorEastAsia" w:cstheme="minorEastAsia"/>
          <w:bCs/>
          <w:color w:val="auto"/>
          <w:sz w:val="24"/>
          <w:szCs w:val="24"/>
          <w:lang w:val="en-US" w:eastAsia="zh-CN"/>
        </w:rPr>
        <w:t>用</w:t>
      </w:r>
      <w:r>
        <w:rPr>
          <w:rFonts w:hint="eastAsia" w:asciiTheme="minorEastAsia" w:hAnsiTheme="minorEastAsia" w:eastAsiaTheme="minorEastAsia" w:cstheme="minorEastAsia"/>
          <w:bCs/>
          <w:color w:val="auto"/>
          <w:sz w:val="24"/>
        </w:rPr>
        <w:t>。）</w:t>
      </w:r>
    </w:p>
    <w:p w14:paraId="701710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8"/>
          <w:shd w:val="clear" w:color="auto" w:fill="FFFFFF"/>
          <w:lang w:val="en-US"/>
        </w:rPr>
      </w:pPr>
      <w:r>
        <w:rPr>
          <w:rFonts w:hint="eastAsia" w:asciiTheme="minorEastAsia" w:hAnsiTheme="minorEastAsia" w:eastAsiaTheme="minorEastAsia" w:cstheme="minorEastAsia"/>
          <w:color w:val="000000"/>
          <w:sz w:val="24"/>
          <w:szCs w:val="28"/>
          <w:shd w:val="clear" w:color="auto" w:fill="FFFFFF"/>
        </w:rPr>
        <w:t>（三）</w:t>
      </w:r>
      <w:r>
        <w:rPr>
          <w:rFonts w:hint="eastAsia" w:asciiTheme="minorEastAsia" w:hAnsiTheme="minorEastAsia" w:eastAsiaTheme="minorEastAsia" w:cstheme="minorEastAsia"/>
          <w:color w:val="auto"/>
          <w:sz w:val="24"/>
          <w:szCs w:val="24"/>
          <w:shd w:val="clear" w:color="auto" w:fill="FFFFFF"/>
          <w:lang w:eastAsia="zh-CN"/>
        </w:rPr>
        <w:t>工期</w:t>
      </w:r>
      <w:r>
        <w:rPr>
          <w:rFonts w:hint="eastAsia" w:asciiTheme="minorEastAsia" w:hAnsiTheme="minorEastAsia" w:eastAsiaTheme="minorEastAsia" w:cstheme="minorEastAsia"/>
          <w:color w:val="auto"/>
          <w:sz w:val="24"/>
          <w:szCs w:val="24"/>
          <w:shd w:val="clear" w:color="auto" w:fill="FFFFFF"/>
        </w:rPr>
        <w:t>：</w:t>
      </w:r>
      <w:r>
        <w:rPr>
          <w:rFonts w:hint="eastAsia" w:asciiTheme="minorEastAsia" w:hAnsiTheme="minorEastAsia" w:eastAsiaTheme="minorEastAsia" w:cstheme="minorEastAsia"/>
          <w:color w:val="auto"/>
          <w:kern w:val="28"/>
          <w:sz w:val="24"/>
          <w:szCs w:val="24"/>
        </w:rPr>
        <w:t>开工</w:t>
      </w:r>
      <w:r>
        <w:rPr>
          <w:rFonts w:hint="eastAsia" w:asciiTheme="minorEastAsia" w:hAnsiTheme="minorEastAsia" w:eastAsiaTheme="minorEastAsia" w:cstheme="minorEastAsia"/>
          <w:color w:val="auto"/>
          <w:kern w:val="28"/>
          <w:sz w:val="24"/>
          <w:szCs w:val="24"/>
          <w:lang w:eastAsia="zh-CN"/>
        </w:rPr>
        <w:t>令发出</w:t>
      </w:r>
      <w:r>
        <w:rPr>
          <w:rFonts w:hint="eastAsia" w:asciiTheme="minorEastAsia" w:hAnsiTheme="minorEastAsia" w:eastAsiaTheme="minorEastAsia" w:cstheme="minorEastAsia"/>
          <w:color w:val="auto"/>
          <w:kern w:val="28"/>
          <w:sz w:val="24"/>
          <w:szCs w:val="24"/>
        </w:rPr>
        <w:t>之</w:t>
      </w:r>
      <w:r>
        <w:rPr>
          <w:rFonts w:hint="eastAsia" w:asciiTheme="minorEastAsia" w:hAnsiTheme="minorEastAsia" w:eastAsiaTheme="minorEastAsia" w:cstheme="minorEastAsia"/>
          <w:color w:val="auto"/>
          <w:kern w:val="28"/>
          <w:sz w:val="24"/>
          <w:szCs w:val="24"/>
          <w:highlight w:val="none"/>
        </w:rPr>
        <w:t>日起</w:t>
      </w:r>
      <w:r>
        <w:rPr>
          <w:rFonts w:hint="eastAsia" w:asciiTheme="minorEastAsia" w:hAnsiTheme="minorEastAsia" w:eastAsiaTheme="minorEastAsia" w:cstheme="minorEastAsia"/>
          <w:color w:val="auto"/>
          <w:kern w:val="28"/>
          <w:sz w:val="24"/>
          <w:szCs w:val="24"/>
          <w:highlight w:val="none"/>
          <w:u w:val="single"/>
          <w:lang w:val="en-US" w:eastAsia="zh-CN"/>
        </w:rPr>
        <w:t xml:space="preserve"> 80 </w:t>
      </w:r>
      <w:r>
        <w:rPr>
          <w:rFonts w:hint="eastAsia" w:asciiTheme="minorEastAsia" w:hAnsiTheme="minorEastAsia" w:eastAsiaTheme="minorEastAsia" w:cstheme="minorEastAsia"/>
          <w:color w:val="auto"/>
          <w:kern w:val="28"/>
          <w:sz w:val="24"/>
          <w:szCs w:val="24"/>
          <w:highlight w:val="none"/>
        </w:rPr>
        <w:t>天内完</w:t>
      </w:r>
      <w:r>
        <w:rPr>
          <w:rFonts w:hint="eastAsia" w:asciiTheme="minorEastAsia" w:hAnsiTheme="minorEastAsia" w:eastAsiaTheme="minorEastAsia" w:cstheme="minorEastAsia"/>
          <w:color w:val="auto"/>
          <w:kern w:val="28"/>
          <w:sz w:val="24"/>
          <w:szCs w:val="24"/>
        </w:rPr>
        <w:t>工</w:t>
      </w:r>
      <w:r>
        <w:rPr>
          <w:rFonts w:hint="eastAsia" w:asciiTheme="minorEastAsia" w:hAnsiTheme="minorEastAsia" w:eastAsiaTheme="minorEastAsia" w:cstheme="minorEastAsia"/>
          <w:color w:val="auto"/>
          <w:kern w:val="28"/>
          <w:sz w:val="24"/>
          <w:szCs w:val="24"/>
          <w:lang w:eastAsia="zh-CN"/>
        </w:rPr>
        <w:t>（</w:t>
      </w:r>
      <w:r>
        <w:rPr>
          <w:rFonts w:hint="eastAsia" w:asciiTheme="minorEastAsia" w:hAnsiTheme="minorEastAsia" w:eastAsiaTheme="minorEastAsia" w:cstheme="minorEastAsia"/>
          <w:color w:val="auto"/>
          <w:kern w:val="28"/>
          <w:sz w:val="24"/>
          <w:szCs w:val="24"/>
        </w:rPr>
        <w:t>具体开工时间以开工</w:t>
      </w:r>
      <w:r>
        <w:rPr>
          <w:rFonts w:hint="eastAsia" w:asciiTheme="minorEastAsia" w:hAnsiTheme="minorEastAsia" w:eastAsiaTheme="minorEastAsia" w:cstheme="minorEastAsia"/>
          <w:color w:val="auto"/>
          <w:kern w:val="28"/>
          <w:sz w:val="24"/>
          <w:szCs w:val="24"/>
          <w:lang w:eastAsia="zh-CN"/>
        </w:rPr>
        <w:t>令</w:t>
      </w:r>
      <w:r>
        <w:rPr>
          <w:rFonts w:hint="eastAsia" w:asciiTheme="minorEastAsia" w:hAnsiTheme="minorEastAsia" w:eastAsiaTheme="minorEastAsia" w:cstheme="minorEastAsia"/>
          <w:color w:val="auto"/>
          <w:kern w:val="28"/>
          <w:sz w:val="24"/>
          <w:szCs w:val="24"/>
        </w:rPr>
        <w:t>为准</w:t>
      </w:r>
      <w:r>
        <w:rPr>
          <w:rFonts w:hint="eastAsia" w:asciiTheme="minorEastAsia" w:hAnsiTheme="minorEastAsia" w:eastAsiaTheme="minorEastAsia" w:cstheme="minorEastAsia"/>
          <w:color w:val="auto"/>
          <w:kern w:val="28"/>
          <w:sz w:val="24"/>
          <w:szCs w:val="24"/>
          <w:lang w:eastAsia="zh-CN"/>
        </w:rPr>
        <w:t>）。</w:t>
      </w:r>
    </w:p>
    <w:p w14:paraId="555983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8"/>
          <w:shd w:val="clear" w:color="auto" w:fill="FFFFFF"/>
        </w:rPr>
      </w:pPr>
      <w:r>
        <w:rPr>
          <w:rFonts w:hint="eastAsia" w:asciiTheme="minorEastAsia" w:hAnsiTheme="minorEastAsia" w:eastAsiaTheme="minorEastAsia" w:cstheme="minorEastAsia"/>
          <w:color w:val="000000"/>
          <w:sz w:val="24"/>
          <w:szCs w:val="28"/>
          <w:shd w:val="clear" w:color="auto" w:fill="FFFFFF"/>
        </w:rPr>
        <w:t>（四）</w:t>
      </w:r>
      <w:r>
        <w:rPr>
          <w:rFonts w:hint="eastAsia" w:asciiTheme="minorEastAsia" w:hAnsiTheme="minorEastAsia" w:eastAsiaTheme="minorEastAsia" w:cstheme="minorEastAsia"/>
          <w:color w:val="auto"/>
          <w:sz w:val="24"/>
          <w:szCs w:val="24"/>
          <w:shd w:val="clear" w:color="auto" w:fill="FFFFFF"/>
          <w:lang w:val="en-US" w:eastAsia="zh-CN"/>
        </w:rPr>
        <w:t>工程</w:t>
      </w:r>
      <w:r>
        <w:rPr>
          <w:rFonts w:hint="eastAsia" w:asciiTheme="minorEastAsia" w:hAnsiTheme="minorEastAsia" w:eastAsiaTheme="minorEastAsia" w:cstheme="minorEastAsia"/>
          <w:color w:val="auto"/>
          <w:sz w:val="24"/>
          <w:szCs w:val="24"/>
          <w:shd w:val="clear" w:color="auto" w:fill="FFFFFF"/>
        </w:rPr>
        <w:t>地点：</w:t>
      </w:r>
      <w:r>
        <w:rPr>
          <w:rFonts w:hint="eastAsia" w:asciiTheme="minorEastAsia" w:hAnsiTheme="minorEastAsia" w:eastAsiaTheme="minorEastAsia" w:cstheme="minorEastAsia"/>
          <w:color w:val="auto"/>
          <w:sz w:val="24"/>
          <w:szCs w:val="24"/>
          <w:shd w:val="clear" w:color="auto" w:fill="FFFFFF"/>
          <w:lang w:eastAsia="zh-CN"/>
        </w:rPr>
        <w:t>广东省汕头市濠江区北山湾路</w:t>
      </w:r>
      <w:r>
        <w:rPr>
          <w:rFonts w:hint="eastAsia" w:asciiTheme="minorEastAsia" w:hAnsiTheme="minorEastAsia" w:eastAsiaTheme="minorEastAsia" w:cstheme="minorEastAsia"/>
          <w:color w:val="auto"/>
          <w:sz w:val="24"/>
          <w:szCs w:val="24"/>
          <w:shd w:val="clear" w:color="auto" w:fill="FFFFFF"/>
          <w:lang w:val="en-US" w:eastAsia="zh-CN"/>
        </w:rPr>
        <w:t>32号广东省粤东技师学院北山湾校区</w:t>
      </w:r>
      <w:r>
        <w:rPr>
          <w:rFonts w:hint="eastAsia" w:asciiTheme="minorEastAsia" w:hAnsiTheme="minorEastAsia" w:eastAsiaTheme="minorEastAsia" w:cstheme="minorEastAsia"/>
          <w:color w:val="000000"/>
          <w:sz w:val="24"/>
          <w:szCs w:val="28"/>
          <w:shd w:val="clear" w:color="auto" w:fill="FFFFFF"/>
        </w:rPr>
        <w:t>。</w:t>
      </w:r>
    </w:p>
    <w:p w14:paraId="6FCA2F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8"/>
          <w:shd w:val="clear" w:color="auto" w:fill="FFFFFF"/>
        </w:rPr>
      </w:pPr>
      <w:r>
        <w:rPr>
          <w:rFonts w:hint="eastAsia" w:asciiTheme="minorEastAsia" w:hAnsiTheme="minorEastAsia" w:eastAsiaTheme="minorEastAsia" w:cstheme="minorEastAsia"/>
          <w:color w:val="000000"/>
          <w:sz w:val="24"/>
          <w:szCs w:val="28"/>
          <w:shd w:val="clear" w:color="auto" w:fill="FFFFFF"/>
        </w:rPr>
        <w:t>（五）</w:t>
      </w:r>
      <w:r>
        <w:rPr>
          <w:rFonts w:hint="eastAsia" w:asciiTheme="minorEastAsia" w:hAnsiTheme="minorEastAsia" w:cstheme="minorEastAsia"/>
          <w:bCs/>
          <w:color w:val="auto"/>
          <w:sz w:val="24"/>
          <w:szCs w:val="24"/>
        </w:rPr>
        <w:t>本项目报价采用报</w:t>
      </w:r>
      <w:r>
        <w:rPr>
          <w:rFonts w:hint="eastAsia" w:asciiTheme="minorEastAsia" w:hAnsiTheme="minorEastAsia" w:cstheme="minorEastAsia"/>
          <w:bCs/>
          <w:color w:val="auto"/>
          <w:sz w:val="24"/>
          <w:szCs w:val="24"/>
          <w:lang w:val="en-US" w:eastAsia="zh-CN"/>
        </w:rPr>
        <w:t>总价</w:t>
      </w:r>
      <w:r>
        <w:rPr>
          <w:rFonts w:hint="eastAsia" w:asciiTheme="minorEastAsia" w:hAnsiTheme="minorEastAsia" w:cstheme="minorEastAsia"/>
          <w:bCs/>
          <w:color w:val="auto"/>
          <w:sz w:val="24"/>
          <w:szCs w:val="24"/>
        </w:rPr>
        <w:t>的方式。</w:t>
      </w:r>
      <w:r>
        <w:rPr>
          <w:rFonts w:hint="eastAsia" w:asciiTheme="minorEastAsia" w:hAnsiTheme="minorEastAsia" w:cstheme="minorEastAsia"/>
          <w:bCs/>
          <w:color w:val="000000"/>
          <w:sz w:val="24"/>
          <w:szCs w:val="24"/>
          <w:lang w:eastAsia="zh-CN"/>
        </w:rPr>
        <w:t>响应供应商</w:t>
      </w:r>
      <w:r>
        <w:rPr>
          <w:rFonts w:hint="eastAsia" w:asciiTheme="minorEastAsia" w:hAnsiTheme="minorEastAsia" w:cstheme="minorEastAsia"/>
          <w:bCs/>
          <w:color w:val="000000"/>
          <w:sz w:val="24"/>
          <w:szCs w:val="24"/>
        </w:rPr>
        <w:t>的报价应包括但不限于</w:t>
      </w:r>
      <w:r>
        <w:rPr>
          <w:rFonts w:hint="eastAsia" w:asciiTheme="minorEastAsia" w:hAnsiTheme="minorEastAsia" w:eastAsiaTheme="minorEastAsia" w:cstheme="minorEastAsia"/>
          <w:kern w:val="28"/>
          <w:sz w:val="24"/>
          <w:szCs w:val="24"/>
        </w:rPr>
        <w:t>（向相关部门如国土部门或城管部门）报批或报备、人工、材料、机械、质量、工期、安全、通过采购人和相关政府部门的验收</w:t>
      </w:r>
      <w:r>
        <w:rPr>
          <w:rFonts w:hint="eastAsia" w:asciiTheme="minorEastAsia" w:hAnsiTheme="minorEastAsia" w:eastAsiaTheme="minorEastAsia" w:cstheme="minorEastAsia"/>
          <w:kern w:val="28"/>
          <w:sz w:val="24"/>
          <w:szCs w:val="24"/>
          <w:lang w:val="en-US" w:eastAsia="zh-CN"/>
        </w:rPr>
        <w:t>等</w:t>
      </w:r>
      <w:r>
        <w:rPr>
          <w:rFonts w:hint="eastAsia" w:asciiTheme="minorEastAsia" w:hAnsiTheme="minorEastAsia" w:cstheme="minorEastAsia"/>
          <w:bCs/>
          <w:color w:val="000000"/>
          <w:sz w:val="24"/>
          <w:szCs w:val="24"/>
        </w:rPr>
        <w:t>一切相关费用和</w:t>
      </w:r>
      <w:r>
        <w:rPr>
          <w:rFonts w:hint="eastAsia" w:asciiTheme="minorEastAsia" w:hAnsiTheme="minorEastAsia" w:cstheme="minorEastAsia"/>
          <w:bCs/>
          <w:color w:val="000000"/>
          <w:sz w:val="24"/>
          <w:szCs w:val="24"/>
          <w:lang w:val="en-US" w:eastAsia="zh-CN"/>
        </w:rPr>
        <w:t>遴选</w:t>
      </w:r>
      <w:r>
        <w:rPr>
          <w:rFonts w:hint="eastAsia" w:asciiTheme="minorEastAsia" w:hAnsiTheme="minorEastAsia" w:cstheme="minorEastAsia"/>
          <w:bCs/>
          <w:color w:val="000000"/>
          <w:sz w:val="24"/>
          <w:szCs w:val="24"/>
        </w:rPr>
        <w:t>服务费。如果</w:t>
      </w:r>
      <w:r>
        <w:rPr>
          <w:rFonts w:hint="eastAsia" w:asciiTheme="minorEastAsia" w:hAnsiTheme="minorEastAsia" w:cstheme="minorEastAsia"/>
          <w:bCs/>
          <w:color w:val="000000"/>
          <w:sz w:val="24"/>
          <w:szCs w:val="24"/>
          <w:lang w:eastAsia="zh-CN"/>
        </w:rPr>
        <w:t>响应供应商</w:t>
      </w:r>
      <w:r>
        <w:rPr>
          <w:rFonts w:hint="eastAsia" w:asciiTheme="minorEastAsia" w:hAnsiTheme="minorEastAsia" w:cstheme="minorEastAsia"/>
          <w:bCs/>
          <w:color w:val="000000"/>
          <w:sz w:val="24"/>
          <w:szCs w:val="24"/>
        </w:rPr>
        <w:t>在</w:t>
      </w:r>
      <w:r>
        <w:rPr>
          <w:rFonts w:hint="eastAsia" w:asciiTheme="minorEastAsia" w:hAnsiTheme="minorEastAsia" w:cstheme="minorEastAsia"/>
          <w:bCs/>
          <w:color w:val="000000"/>
          <w:sz w:val="24"/>
          <w:szCs w:val="24"/>
          <w:lang w:val="en-US" w:eastAsia="zh-CN"/>
        </w:rPr>
        <w:t>成交</w:t>
      </w:r>
      <w:r>
        <w:rPr>
          <w:rFonts w:hint="eastAsia" w:asciiTheme="minorEastAsia" w:hAnsiTheme="minorEastAsia" w:cstheme="minorEastAsia"/>
          <w:bCs/>
          <w:color w:val="000000"/>
          <w:sz w:val="24"/>
          <w:szCs w:val="24"/>
        </w:rPr>
        <w:t>并签署合同后，或在管理期限内出现的任何遗漏，均由</w:t>
      </w:r>
      <w:r>
        <w:rPr>
          <w:rFonts w:hint="eastAsia" w:asciiTheme="minorEastAsia" w:hAnsiTheme="minorEastAsia" w:cstheme="minorEastAsia"/>
          <w:bCs/>
          <w:color w:val="000000"/>
          <w:sz w:val="24"/>
          <w:szCs w:val="24"/>
          <w:lang w:eastAsia="zh-CN"/>
        </w:rPr>
        <w:t>成交供应商</w:t>
      </w:r>
      <w:r>
        <w:rPr>
          <w:rFonts w:hint="eastAsia" w:asciiTheme="minorEastAsia" w:hAnsiTheme="minorEastAsia" w:cstheme="minorEastAsia"/>
          <w:bCs/>
          <w:color w:val="000000"/>
          <w:sz w:val="24"/>
          <w:szCs w:val="24"/>
        </w:rPr>
        <w:t>负责，</w:t>
      </w:r>
      <w:r>
        <w:rPr>
          <w:rFonts w:hint="eastAsia" w:asciiTheme="minorEastAsia" w:hAnsiTheme="minorEastAsia" w:cstheme="minorEastAsia"/>
          <w:bCs/>
          <w:color w:val="000000"/>
          <w:sz w:val="24"/>
          <w:szCs w:val="24"/>
          <w:lang w:eastAsia="zh-CN"/>
        </w:rPr>
        <w:t>响应供应商</w:t>
      </w:r>
      <w:r>
        <w:rPr>
          <w:rFonts w:hint="eastAsia" w:asciiTheme="minorEastAsia" w:hAnsiTheme="minorEastAsia" w:cstheme="minorEastAsia"/>
          <w:bCs/>
          <w:color w:val="000000"/>
          <w:sz w:val="24"/>
          <w:szCs w:val="24"/>
        </w:rPr>
        <w:t>应充分了解本项目的实际及任何其它足以影响</w:t>
      </w:r>
      <w:r>
        <w:rPr>
          <w:rFonts w:hint="eastAsia" w:asciiTheme="minorEastAsia" w:hAnsiTheme="minorEastAsia" w:cstheme="minorEastAsia"/>
          <w:bCs/>
          <w:color w:val="000000"/>
          <w:sz w:val="24"/>
          <w:szCs w:val="24"/>
          <w:lang w:val="en-US" w:eastAsia="zh-CN"/>
        </w:rPr>
        <w:t>响应</w:t>
      </w:r>
      <w:r>
        <w:rPr>
          <w:rFonts w:hint="eastAsia" w:asciiTheme="minorEastAsia" w:hAnsiTheme="minorEastAsia" w:cstheme="minorEastAsia"/>
          <w:bCs/>
          <w:color w:val="000000"/>
          <w:sz w:val="24"/>
          <w:szCs w:val="24"/>
        </w:rPr>
        <w:t>报价的情况，充分考虑到</w:t>
      </w:r>
      <w:r>
        <w:rPr>
          <w:rFonts w:hint="eastAsia" w:asciiTheme="minorEastAsia" w:hAnsiTheme="minorEastAsia" w:cstheme="minorEastAsia"/>
          <w:bCs/>
          <w:color w:val="000000"/>
          <w:sz w:val="24"/>
          <w:szCs w:val="24"/>
          <w:lang w:val="en-US" w:eastAsia="zh-CN"/>
        </w:rPr>
        <w:t>响应</w:t>
      </w:r>
      <w:r>
        <w:rPr>
          <w:rFonts w:hint="eastAsia" w:asciiTheme="minorEastAsia" w:hAnsiTheme="minorEastAsia" w:cstheme="minorEastAsia"/>
          <w:bCs/>
          <w:color w:val="000000"/>
          <w:sz w:val="24"/>
          <w:szCs w:val="24"/>
        </w:rPr>
        <w:t>报价的风险。</w:t>
      </w:r>
    </w:p>
    <w:p w14:paraId="7705F1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sz w:val="24"/>
          <w:szCs w:val="28"/>
          <w:shd w:val="clear" w:color="auto" w:fill="FFFFFF"/>
        </w:rPr>
      </w:pPr>
      <w:r>
        <w:rPr>
          <w:rFonts w:hint="eastAsia" w:asciiTheme="minorEastAsia" w:hAnsiTheme="minorEastAsia" w:eastAsiaTheme="minorEastAsia" w:cstheme="minorEastAsia"/>
          <w:color w:val="000000"/>
          <w:sz w:val="24"/>
          <w:szCs w:val="28"/>
          <w:shd w:val="clear" w:color="auto" w:fill="FFFFFF"/>
        </w:rPr>
        <w:t>（</w:t>
      </w:r>
      <w:r>
        <w:rPr>
          <w:rFonts w:hint="eastAsia" w:asciiTheme="minorEastAsia" w:hAnsiTheme="minorEastAsia" w:eastAsiaTheme="minorEastAsia" w:cstheme="minorEastAsia"/>
          <w:color w:val="000000"/>
          <w:sz w:val="24"/>
          <w:szCs w:val="28"/>
          <w:shd w:val="clear" w:color="auto" w:fill="FFFFFF"/>
          <w:lang w:val="en-US" w:eastAsia="zh-CN"/>
        </w:rPr>
        <w:t>六</w:t>
      </w:r>
      <w:r>
        <w:rPr>
          <w:rFonts w:hint="eastAsia" w:asciiTheme="minorEastAsia" w:hAnsiTheme="minorEastAsia" w:eastAsiaTheme="minorEastAsia" w:cstheme="minorEastAsia"/>
          <w:color w:val="000000"/>
          <w:sz w:val="24"/>
          <w:szCs w:val="28"/>
          <w:shd w:val="clear" w:color="auto" w:fill="FFFFFF"/>
        </w:rPr>
        <w:t>）</w:t>
      </w:r>
      <w:r>
        <w:rPr>
          <w:rFonts w:hint="eastAsia" w:asciiTheme="minorEastAsia" w:hAnsiTheme="minorEastAsia" w:eastAsiaTheme="minorEastAsia" w:cstheme="minorEastAsia"/>
          <w:color w:val="000000"/>
          <w:sz w:val="24"/>
          <w:szCs w:val="28"/>
          <w:shd w:val="clear" w:color="auto" w:fill="FFFFFF"/>
          <w:lang w:eastAsia="zh-CN"/>
        </w:rPr>
        <w:t>响应供应商</w:t>
      </w:r>
      <w:r>
        <w:rPr>
          <w:rFonts w:hint="eastAsia" w:asciiTheme="minorEastAsia" w:hAnsiTheme="minorEastAsia" w:eastAsiaTheme="minorEastAsia" w:cstheme="minorEastAsia"/>
          <w:color w:val="000000"/>
          <w:sz w:val="24"/>
          <w:szCs w:val="28"/>
          <w:shd w:val="clear" w:color="auto" w:fill="FFFFFF"/>
        </w:rPr>
        <w:t>须对本项目服务进行整体响应，任何只对其中一部分内容进行的响应都被视为无效</w:t>
      </w:r>
      <w:r>
        <w:rPr>
          <w:rFonts w:hint="eastAsia" w:asciiTheme="minorEastAsia" w:hAnsiTheme="minorEastAsia" w:eastAsiaTheme="minorEastAsia" w:cstheme="minorEastAsia"/>
          <w:color w:val="000000"/>
          <w:sz w:val="24"/>
          <w:szCs w:val="28"/>
          <w:shd w:val="clear" w:color="auto" w:fill="FFFFFF"/>
          <w:lang w:eastAsia="zh-CN"/>
        </w:rPr>
        <w:t>响应</w:t>
      </w:r>
      <w:r>
        <w:rPr>
          <w:rFonts w:hint="eastAsia" w:asciiTheme="minorEastAsia" w:hAnsiTheme="minorEastAsia" w:eastAsiaTheme="minorEastAsia" w:cstheme="minorEastAsia"/>
          <w:color w:val="000000"/>
          <w:sz w:val="24"/>
          <w:szCs w:val="28"/>
          <w:shd w:val="clear" w:color="auto" w:fill="FFFFFF"/>
        </w:rPr>
        <w:t>。</w:t>
      </w:r>
    </w:p>
    <w:p w14:paraId="6000A6EB">
      <w:pPr>
        <w:keepNext w:val="0"/>
        <w:keepLines w:val="0"/>
        <w:pageBreakBefore w:val="0"/>
        <w:kinsoku/>
        <w:wordWrap/>
        <w:overflowPunct/>
        <w:topLinePunct w:val="0"/>
        <w:autoSpaceDE/>
        <w:autoSpaceDN/>
        <w:bidi w:val="0"/>
        <w:spacing w:line="360" w:lineRule="auto"/>
        <w:textAlignment w:val="auto"/>
        <w:outlineLvl w:val="1"/>
        <w:rPr>
          <w:rFonts w:hint="eastAsia" w:asciiTheme="minorEastAsia" w:hAnsiTheme="minorEastAsia" w:eastAsiaTheme="minorEastAsia" w:cstheme="minorEastAsia"/>
          <w:b/>
          <w:color w:val="auto"/>
          <w:sz w:val="24"/>
          <w:szCs w:val="24"/>
          <w:lang w:val="en-US" w:eastAsia="zh-CN"/>
        </w:rPr>
      </w:pPr>
      <w:bookmarkStart w:id="51" w:name="_Toc92978543"/>
      <w:bookmarkStart w:id="52" w:name="_Toc93997407"/>
      <w:bookmarkStart w:id="53" w:name="_Toc27920"/>
      <w:bookmarkStart w:id="54" w:name="_Toc91288811"/>
      <w:bookmarkStart w:id="55" w:name="_Toc26835"/>
      <w:bookmarkStart w:id="56" w:name="_Toc9935682"/>
      <w:bookmarkStart w:id="57" w:name="_Toc55981044"/>
      <w:bookmarkStart w:id="58" w:name="_Toc19803"/>
      <w:bookmarkStart w:id="59" w:name="_Toc92459744"/>
      <w:bookmarkStart w:id="60" w:name="_Toc11665899"/>
      <w:bookmarkStart w:id="61" w:name="_Toc90148905"/>
      <w:bookmarkStart w:id="62" w:name="_Toc10132669"/>
      <w:bookmarkStart w:id="63" w:name="_Toc11665077"/>
      <w:bookmarkStart w:id="64" w:name="_Toc9865"/>
      <w:bookmarkStart w:id="65" w:name="_Toc22048"/>
      <w:bookmarkStart w:id="66" w:name="_Toc28685"/>
      <w:bookmarkStart w:id="67" w:name="_Toc21482"/>
      <w:bookmarkStart w:id="68" w:name="_Toc18560"/>
      <w:bookmarkStart w:id="69" w:name="_Toc10688"/>
      <w:bookmarkStart w:id="70" w:name="_Toc3243"/>
      <w:r>
        <w:rPr>
          <w:rFonts w:hint="eastAsia" w:asciiTheme="minorEastAsia" w:hAnsiTheme="minorEastAsia" w:eastAsiaTheme="minorEastAsia" w:cstheme="minorEastAsia"/>
          <w:b/>
          <w:color w:val="auto"/>
          <w:sz w:val="24"/>
          <w:szCs w:val="24"/>
        </w:rPr>
        <w:t>二、</w:t>
      </w:r>
      <w:bookmarkEnd w:id="51"/>
      <w:bookmarkEnd w:id="52"/>
      <w:bookmarkEnd w:id="53"/>
      <w:bookmarkEnd w:id="54"/>
      <w:bookmarkEnd w:id="55"/>
      <w:bookmarkEnd w:id="56"/>
      <w:bookmarkEnd w:id="57"/>
      <w:bookmarkEnd w:id="58"/>
      <w:bookmarkEnd w:id="59"/>
      <w:bookmarkEnd w:id="60"/>
      <w:bookmarkEnd w:id="61"/>
      <w:bookmarkEnd w:id="62"/>
      <w:bookmarkEnd w:id="63"/>
      <w:r>
        <w:rPr>
          <w:rFonts w:hint="eastAsia" w:asciiTheme="minorEastAsia" w:hAnsiTheme="minorEastAsia" w:eastAsiaTheme="minorEastAsia" w:cstheme="minorEastAsia"/>
          <w:b/>
          <w:color w:val="auto"/>
          <w:sz w:val="24"/>
          <w:szCs w:val="24"/>
          <w:lang w:val="en-US" w:eastAsia="zh-CN"/>
        </w:rPr>
        <w:t>项目内容及要求</w:t>
      </w:r>
      <w:bookmarkEnd w:id="64"/>
      <w:bookmarkEnd w:id="65"/>
      <w:bookmarkEnd w:id="66"/>
      <w:bookmarkEnd w:id="67"/>
      <w:bookmarkEnd w:id="68"/>
      <w:bookmarkEnd w:id="69"/>
      <w:bookmarkEnd w:id="70"/>
    </w:p>
    <w:p w14:paraId="1EE54BF1">
      <w:pPr>
        <w:keepNext w:val="0"/>
        <w:keepLines w:val="0"/>
        <w:pageBreakBefore w:val="0"/>
        <w:kinsoku/>
        <w:wordWrap/>
        <w:overflowPunct/>
        <w:topLinePunct w:val="0"/>
        <w:autoSpaceDE/>
        <w:autoSpaceDN/>
        <w:bidi w:val="0"/>
        <w:spacing w:line="360" w:lineRule="auto"/>
        <w:ind w:firstLine="426"/>
        <w:textAlignment w:val="auto"/>
        <w:rPr>
          <w:rFonts w:hint="eastAsia" w:asciiTheme="minorEastAsia" w:hAnsiTheme="minorEastAsia" w:eastAsiaTheme="minorEastAsia" w:cstheme="minorEastAsia"/>
          <w:color w:val="auto"/>
          <w:sz w:val="24"/>
          <w:szCs w:val="24"/>
          <w:shd w:val="clear" w:color="auto" w:fill="FFFFFF"/>
          <w:lang w:val="en-US" w:eastAsia="zh-CN"/>
        </w:rPr>
      </w:pPr>
      <w:r>
        <w:rPr>
          <w:rFonts w:hint="eastAsia" w:asciiTheme="minorEastAsia" w:hAnsiTheme="minorEastAsia" w:eastAsiaTheme="minorEastAsia" w:cstheme="minorEastAsia"/>
          <w:color w:val="auto"/>
          <w:sz w:val="24"/>
          <w:szCs w:val="24"/>
          <w:shd w:val="clear" w:color="auto" w:fill="FFFFFF"/>
          <w:lang w:eastAsia="zh-CN"/>
        </w:rPr>
        <w:t>（</w:t>
      </w:r>
      <w:r>
        <w:rPr>
          <w:rFonts w:hint="eastAsia" w:asciiTheme="minorEastAsia" w:hAnsiTheme="minorEastAsia" w:eastAsiaTheme="minorEastAsia" w:cstheme="minorEastAsia"/>
          <w:color w:val="auto"/>
          <w:sz w:val="24"/>
          <w:szCs w:val="24"/>
          <w:shd w:val="clear" w:color="auto" w:fill="FFFFFF"/>
          <w:lang w:val="en-US" w:eastAsia="zh-CN"/>
        </w:rPr>
        <w:t>一</w:t>
      </w:r>
      <w:r>
        <w:rPr>
          <w:rFonts w:hint="eastAsia" w:asciiTheme="minorEastAsia" w:hAnsiTheme="minorEastAsia" w:eastAsiaTheme="minorEastAsia" w:cstheme="minorEastAsia"/>
          <w:color w:val="auto"/>
          <w:sz w:val="24"/>
          <w:szCs w:val="24"/>
          <w:shd w:val="clear" w:color="auto" w:fill="FFFFFF"/>
          <w:lang w:eastAsia="zh-CN"/>
        </w:rPr>
        <w:t>）</w:t>
      </w:r>
      <w:r>
        <w:rPr>
          <w:rFonts w:hint="eastAsia" w:asciiTheme="minorEastAsia" w:hAnsiTheme="minorEastAsia" w:eastAsiaTheme="minorEastAsia" w:cstheme="minorEastAsia"/>
          <w:color w:val="auto"/>
          <w:sz w:val="24"/>
          <w:szCs w:val="24"/>
          <w:shd w:val="clear" w:color="auto" w:fill="FFFFFF"/>
          <w:lang w:val="en-US" w:eastAsia="zh-CN"/>
        </w:rPr>
        <w:t>建设范围</w:t>
      </w:r>
    </w:p>
    <w:p w14:paraId="5304D63A">
      <w:pPr>
        <w:keepNext w:val="0"/>
        <w:keepLines w:val="0"/>
        <w:pageBreakBefore w:val="0"/>
        <w:kinsoku/>
        <w:wordWrap/>
        <w:overflowPunct/>
        <w:topLinePunct w:val="0"/>
        <w:autoSpaceDE/>
        <w:autoSpaceDN/>
        <w:bidi w:val="0"/>
        <w:spacing w:line="360" w:lineRule="auto"/>
        <w:ind w:firstLine="426"/>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 xml:space="preserve">详见《工程量清单》及图纸。 </w:t>
      </w:r>
    </w:p>
    <w:p w14:paraId="2D7AB528">
      <w:pPr>
        <w:keepNext w:val="0"/>
        <w:keepLines w:val="0"/>
        <w:pageBreakBefore w:val="0"/>
        <w:numPr>
          <w:ilvl w:val="0"/>
          <w:numId w:val="0"/>
        </w:numPr>
        <w:kinsoku/>
        <w:wordWrap/>
        <w:overflowPunct/>
        <w:topLinePunct w:val="0"/>
        <w:autoSpaceDE/>
        <w:autoSpaceDN/>
        <w:bidi w:val="0"/>
        <w:spacing w:line="360" w:lineRule="auto"/>
        <w:ind w:firstLine="426" w:firstLine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（二）</w:t>
      </w:r>
      <w:r>
        <w:rPr>
          <w:rFonts w:hint="eastAsia" w:asciiTheme="minorEastAsia" w:hAnsiTheme="minorEastAsia" w:eastAsiaTheme="minorEastAsia" w:cstheme="minorEastAsia"/>
          <w:color w:val="auto"/>
          <w:sz w:val="24"/>
          <w:szCs w:val="24"/>
          <w:lang w:val="en-US" w:eastAsia="zh-CN"/>
        </w:rPr>
        <w:t>总体要求</w:t>
      </w:r>
    </w:p>
    <w:p w14:paraId="10B851E0">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sz w:val="24"/>
          <w:szCs w:val="24"/>
          <w:lang w:val="en-US" w:eastAsia="zh-CN"/>
        </w:rPr>
        <w:t>1.</w:t>
      </w:r>
      <w:r>
        <w:rPr>
          <w:rFonts w:hint="eastAsia" w:asciiTheme="minorEastAsia" w:hAnsiTheme="minorEastAsia" w:eastAsiaTheme="minorEastAsia" w:cstheme="minorEastAsia"/>
          <w:sz w:val="24"/>
          <w:szCs w:val="24"/>
          <w:lang w:eastAsia="zh-CN"/>
        </w:rPr>
        <w:t>响应供应商</w:t>
      </w:r>
      <w:r>
        <w:rPr>
          <w:rFonts w:hint="eastAsia" w:asciiTheme="minorEastAsia" w:hAnsiTheme="minorEastAsia" w:eastAsiaTheme="minorEastAsia" w:cstheme="minorEastAsia"/>
          <w:sz w:val="24"/>
          <w:szCs w:val="24"/>
        </w:rPr>
        <w:t>须承诺：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响应文件的项目负责人、技术负责人须与现场负责施工的项目负责人、技术负责人一致，否则，需支付采购人违约金</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按每天1%的成交价计算）。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不得在合同期内私下将本项目转包，一经发现，采购人有权追究其相关法律责任。</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须提交进场施工人员名单及身份证复印件给采购人备案，且承诺须在采购人所属有关部门办理出入证。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施工人员须严格遵守采购人一切规章制度，自觉接受检查，无证人员一律不得进入施工现场，施工人员不得在施工现场留宿。施工人员未经批准不得进入其他区域。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须遵守采购人、施工现场和人员管理的规定，安全生产，文明施工。</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须注意施工安全，做好安全文明施工工作，如因措施不当造成人身安全或工伤死亡事故，一切责任由</w:t>
      </w:r>
      <w:r>
        <w:rPr>
          <w:rFonts w:hint="eastAsia" w:asciiTheme="minorEastAsia" w:hAnsiTheme="minorEastAsia" w:eastAsiaTheme="minorEastAsia" w:cstheme="minorEastAsia"/>
          <w:sz w:val="24"/>
          <w:szCs w:val="24"/>
          <w:lang w:eastAsia="zh-CN"/>
        </w:rPr>
        <w:t>响应供应商</w:t>
      </w:r>
      <w:r>
        <w:rPr>
          <w:rFonts w:hint="eastAsia" w:asciiTheme="minorEastAsia" w:hAnsiTheme="minorEastAsia" w:eastAsiaTheme="minorEastAsia" w:cstheme="minorEastAsia"/>
          <w:sz w:val="24"/>
          <w:szCs w:val="24"/>
        </w:rPr>
        <w:t>负责。</w:t>
      </w:r>
    </w:p>
    <w:p w14:paraId="3A653CD4">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响应供应商</w:t>
      </w:r>
      <w:r>
        <w:rPr>
          <w:rFonts w:hint="eastAsia" w:asciiTheme="minorEastAsia" w:hAnsiTheme="minorEastAsia" w:eastAsiaTheme="minorEastAsia" w:cstheme="minorEastAsia"/>
          <w:sz w:val="24"/>
          <w:szCs w:val="24"/>
        </w:rPr>
        <w:t>在施工过程前需向有关部门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如国土部门或城管部门等）进行报批或报备，在施工过程中，如遇到需与外部相关的单位协调的问题时，应自行解决，采购人只负责必要的协助。</w:t>
      </w:r>
    </w:p>
    <w:p w14:paraId="0F0FB4A7">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响应供应商</w:t>
      </w:r>
      <w:r>
        <w:rPr>
          <w:rFonts w:hint="eastAsia" w:asciiTheme="minorEastAsia" w:hAnsiTheme="minorEastAsia" w:eastAsiaTheme="minorEastAsia" w:cstheme="minorEastAsia"/>
          <w:sz w:val="24"/>
          <w:szCs w:val="24"/>
        </w:rPr>
        <w:t>施工前，需完成相关报备手续，如未完成遭遇外部的单位或相关行政部门进行干预或制止等，应自行解决并承担相应的责任。</w:t>
      </w:r>
    </w:p>
    <w:p w14:paraId="4BAEC8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Theme="minorEastAsia" w:hAnsiTheme="minorEastAsia" w:eastAsiaTheme="minorEastAsia" w:cstheme="minorEastAsia"/>
          <w:sz w:val="24"/>
          <w:szCs w:val="24"/>
          <w:lang w:val="en-US" w:eastAsia="zh-CN"/>
        </w:rPr>
        <w:t>4.团队成员要求：</w:t>
      </w:r>
      <w:r>
        <w:rPr>
          <w:rFonts w:hint="eastAsia" w:ascii="宋体" w:hAnsi="宋体"/>
          <w:sz w:val="24"/>
          <w:szCs w:val="24"/>
        </w:rPr>
        <w:t>委派负责本项目的现场主要管理人员(包括①施工员②安全员③质量员④材料员⑤资料员等)</w:t>
      </w:r>
      <w:r>
        <w:rPr>
          <w:rFonts w:hint="eastAsia" w:ascii="宋体" w:hAnsi="宋体"/>
          <w:sz w:val="24"/>
          <w:szCs w:val="24"/>
          <w:lang w:val="en-US" w:eastAsia="zh-CN"/>
        </w:rPr>
        <w:t>具有相关</w:t>
      </w:r>
      <w:r>
        <w:rPr>
          <w:rFonts w:hint="eastAsia" w:ascii="宋体" w:hAnsi="宋体"/>
          <w:sz w:val="24"/>
          <w:szCs w:val="24"/>
        </w:rPr>
        <w:t>资格证书（注册证书或上岗证）。</w:t>
      </w:r>
    </w:p>
    <w:p w14:paraId="3058E5C6">
      <w:pPr>
        <w:keepNext w:val="0"/>
        <w:keepLines w:val="0"/>
        <w:pageBreakBefore w:val="0"/>
        <w:widowControl w:val="0"/>
        <w:kinsoku/>
        <w:wordWrap/>
        <w:overflowPunct/>
        <w:topLinePunct w:val="0"/>
        <w:autoSpaceDE/>
        <w:autoSpaceDN/>
        <w:bidi w:val="0"/>
        <w:adjustRightInd/>
        <w:snapToGrid w:val="0"/>
        <w:spacing w:line="360" w:lineRule="auto"/>
        <w:ind w:left="0" w:leftChars="0" w:firstLine="482" w:firstLineChars="200"/>
        <w:textAlignment w:val="auto"/>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（三）</w:t>
      </w:r>
      <w:r>
        <w:rPr>
          <w:rFonts w:hint="eastAsia" w:asciiTheme="minorEastAsia" w:hAnsiTheme="minorEastAsia" w:eastAsiaTheme="minorEastAsia" w:cstheme="minorEastAsia"/>
          <w:b/>
          <w:sz w:val="24"/>
          <w:szCs w:val="24"/>
        </w:rPr>
        <w:t>质量和安全文明施工标准</w:t>
      </w:r>
    </w:p>
    <w:p w14:paraId="46798AC2">
      <w:pPr>
        <w:pStyle w:val="17"/>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hint="eastAsia" w:asciiTheme="minorEastAsia" w:hAnsiTheme="minorEastAsia" w:eastAsiaTheme="minorEastAsia" w:cstheme="minorEastAsia"/>
          <w:color w:val="0070C0"/>
          <w:sz w:val="24"/>
        </w:rPr>
      </w:pP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质保期：按照《建设工程质量管理条例》规定。</w:t>
      </w:r>
    </w:p>
    <w:p w14:paraId="7142A5BA">
      <w:pPr>
        <w:pStyle w:val="17"/>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质量标准：本工程项目所有的设备和材料所涉及的设计标准、规范，产品标准、规范工程标准、规范，验收标准、规范等必须完全符合中华人民共和国相应的标准和规范。</w:t>
      </w:r>
    </w:p>
    <w:p w14:paraId="073F2262">
      <w:pPr>
        <w:pStyle w:val="17"/>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工程质量标准：一次验收合格</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施工期间若工程质量不合格，</w:t>
      </w:r>
      <w:r>
        <w:rPr>
          <w:rFonts w:hint="eastAsia" w:asciiTheme="minorEastAsia" w:hAnsiTheme="minorEastAsia" w:eastAsiaTheme="minorEastAsia" w:cstheme="minorEastAsia"/>
          <w:sz w:val="24"/>
          <w:lang w:eastAsia="zh-CN"/>
        </w:rPr>
        <w:t>成交供应商</w:t>
      </w:r>
      <w:r>
        <w:rPr>
          <w:rFonts w:hint="eastAsia" w:asciiTheme="minorEastAsia" w:hAnsiTheme="minorEastAsia" w:eastAsiaTheme="minorEastAsia" w:cstheme="minorEastAsia"/>
          <w:sz w:val="24"/>
        </w:rPr>
        <w:t>须按采购人要求停工和返工，返工费用由</w:t>
      </w:r>
      <w:r>
        <w:rPr>
          <w:rFonts w:hint="eastAsia" w:asciiTheme="minorEastAsia" w:hAnsiTheme="minorEastAsia" w:eastAsiaTheme="minorEastAsia" w:cstheme="minorEastAsia"/>
          <w:sz w:val="24"/>
          <w:lang w:eastAsia="zh-CN"/>
        </w:rPr>
        <w:t>成交供应商</w:t>
      </w:r>
      <w:r>
        <w:rPr>
          <w:rFonts w:hint="eastAsia" w:asciiTheme="minorEastAsia" w:hAnsiTheme="minorEastAsia" w:eastAsiaTheme="minorEastAsia" w:cstheme="minorEastAsia"/>
          <w:sz w:val="24"/>
        </w:rPr>
        <w:t>负责，工期不予顺延。</w:t>
      </w:r>
      <w:r>
        <w:rPr>
          <w:rFonts w:hint="eastAsia" w:asciiTheme="minorEastAsia" w:hAnsiTheme="minorEastAsia" w:eastAsiaTheme="minorEastAsia" w:cstheme="minorEastAsia"/>
          <w:sz w:val="24"/>
          <w:lang w:eastAsia="zh-CN"/>
        </w:rPr>
        <w:t>成交供应商</w:t>
      </w:r>
      <w:r>
        <w:rPr>
          <w:rFonts w:hint="eastAsia" w:asciiTheme="minorEastAsia" w:hAnsiTheme="minorEastAsia" w:eastAsiaTheme="minorEastAsia" w:cstheme="minorEastAsia"/>
          <w:sz w:val="24"/>
        </w:rPr>
        <w:t>完成工程施工任务后要马上申请采购人所属有关部门进行初步验收。</w:t>
      </w:r>
    </w:p>
    <w:p w14:paraId="6BB3BA91">
      <w:pPr>
        <w:pStyle w:val="17"/>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安全文明施工标准：杜绝一般事故等级及以上的伤亡事故且工伤责任事故死亡人数为零。</w:t>
      </w:r>
    </w:p>
    <w:p w14:paraId="505F6D72">
      <w:pPr>
        <w:keepNext w:val="0"/>
        <w:keepLines w:val="0"/>
        <w:pageBreakBefore w:val="0"/>
        <w:widowControl w:val="0"/>
        <w:kinsoku/>
        <w:wordWrap/>
        <w:overflowPunct/>
        <w:topLinePunct w:val="0"/>
        <w:autoSpaceDE/>
        <w:autoSpaceDN/>
        <w:bidi w:val="0"/>
        <w:adjustRightInd/>
        <w:snapToGrid w:val="0"/>
        <w:spacing w:line="360" w:lineRule="auto"/>
        <w:ind w:left="0" w:leftChars="0" w:firstLine="482" w:firstLineChars="200"/>
        <w:textAlignment w:val="auto"/>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（四）</w:t>
      </w:r>
      <w:r>
        <w:rPr>
          <w:rFonts w:hint="eastAsia" w:asciiTheme="minorEastAsia" w:hAnsiTheme="minorEastAsia" w:eastAsiaTheme="minorEastAsia" w:cstheme="minorEastAsia"/>
          <w:b/>
          <w:sz w:val="24"/>
          <w:szCs w:val="24"/>
        </w:rPr>
        <w:t>资料收集与归档</w:t>
      </w:r>
    </w:p>
    <w:p w14:paraId="3C47FABF">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color w:val="auto"/>
          <w:sz w:val="24"/>
          <w:szCs w:val="24"/>
        </w:rPr>
        <w:t>本项目竣工验收后</w:t>
      </w:r>
      <w:r>
        <w:rPr>
          <w:rFonts w:hint="eastAsia" w:asciiTheme="minorEastAsia" w:hAnsiTheme="minorEastAsia" w:eastAsiaTheme="minorEastAsia" w:cstheme="minorEastAsia"/>
          <w:color w:val="auto"/>
          <w:sz w:val="24"/>
          <w:szCs w:val="24"/>
          <w:lang w:val="en-US" w:eastAsia="zh-CN"/>
        </w:rPr>
        <w:t>按采购人要求</w:t>
      </w:r>
      <w:r>
        <w:rPr>
          <w:rFonts w:hint="eastAsia" w:asciiTheme="minorEastAsia" w:hAnsiTheme="minorEastAsia" w:eastAsiaTheme="minorEastAsia" w:cstheme="minorEastAsia"/>
          <w:color w:val="auto"/>
          <w:sz w:val="24"/>
          <w:szCs w:val="24"/>
        </w:rPr>
        <w:t>提供相关工程及结算资料统一送采购人审核，确认后办理</w:t>
      </w:r>
      <w:r>
        <w:rPr>
          <w:rFonts w:hint="eastAsia" w:asciiTheme="minorEastAsia" w:hAnsiTheme="minorEastAsia" w:eastAsiaTheme="minorEastAsia" w:cstheme="minorEastAsia"/>
          <w:color w:val="auto"/>
          <w:sz w:val="24"/>
          <w:szCs w:val="24"/>
          <w:lang w:eastAsia="zh-CN"/>
        </w:rPr>
        <w:t>后续</w:t>
      </w:r>
      <w:r>
        <w:rPr>
          <w:rFonts w:hint="eastAsia" w:asciiTheme="minorEastAsia" w:hAnsiTheme="minorEastAsia" w:eastAsiaTheme="minorEastAsia" w:cstheme="minorEastAsia"/>
          <w:color w:val="auto"/>
          <w:sz w:val="24"/>
          <w:szCs w:val="24"/>
        </w:rPr>
        <w:t>手续</w:t>
      </w:r>
      <w:r>
        <w:rPr>
          <w:rFonts w:hint="eastAsia" w:asciiTheme="minorEastAsia" w:hAnsiTheme="minorEastAsia" w:eastAsiaTheme="minorEastAsia" w:cstheme="minorEastAsia"/>
          <w:sz w:val="24"/>
          <w:szCs w:val="24"/>
        </w:rPr>
        <w:t>。</w:t>
      </w:r>
    </w:p>
    <w:p w14:paraId="0243EEB2">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向采购人提交竣工验收报告时，应当向采购人出具质量保修资料；质量保修书应明确采购人工程的保修范围、保修期限和保修责任等。</w:t>
      </w:r>
    </w:p>
    <w:p w14:paraId="02B585F1">
      <w:pPr>
        <w:keepNext w:val="0"/>
        <w:keepLines w:val="0"/>
        <w:pageBreakBefore w:val="0"/>
        <w:widowControl w:val="0"/>
        <w:kinsoku/>
        <w:wordWrap/>
        <w:overflowPunct/>
        <w:topLinePunct w:val="0"/>
        <w:autoSpaceDE/>
        <w:autoSpaceDN/>
        <w:bidi w:val="0"/>
        <w:adjustRightInd/>
        <w:snapToGrid w:val="0"/>
        <w:spacing w:line="360" w:lineRule="auto"/>
        <w:ind w:left="0" w:leftChars="0" w:firstLine="482" w:firstLineChars="200"/>
        <w:textAlignment w:val="auto"/>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（五）</w:t>
      </w:r>
      <w:r>
        <w:rPr>
          <w:rFonts w:hint="eastAsia" w:asciiTheme="minorEastAsia" w:hAnsiTheme="minorEastAsia" w:eastAsiaTheme="minorEastAsia" w:cstheme="minorEastAsia"/>
          <w:b/>
          <w:sz w:val="24"/>
          <w:szCs w:val="24"/>
        </w:rPr>
        <w:t>施工要求与施工管理</w:t>
      </w:r>
    </w:p>
    <w:p w14:paraId="5D92AD39">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由于实际地形与地形图纸资料存在差异，</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须在施工前对交付场地进行测量，复核按设计要求施工所涉及土方挖填量、定位位置、标高等必须报采购人和监理工程师确认后方可施工、实施，</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无条件对施工图进行深化和补充，采购人在整个建设过程中，可对上述及不限于提及范围进行调整、变更，</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必须无条件服从</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所有费用均控制在</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总价内。</w:t>
      </w:r>
    </w:p>
    <w:p w14:paraId="4ACB661E">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响应供应商</w:t>
      </w:r>
      <w:r>
        <w:rPr>
          <w:rFonts w:hint="eastAsia" w:asciiTheme="minorEastAsia" w:hAnsiTheme="minorEastAsia" w:eastAsiaTheme="minorEastAsia" w:cstheme="minorEastAsia"/>
          <w:sz w:val="24"/>
          <w:szCs w:val="24"/>
        </w:rPr>
        <w:t>必须提交施工组织方案，内容包括人员组织和材料机具准备；主要工序及施工方案；</w:t>
      </w:r>
      <w:r>
        <w:rPr>
          <w:rFonts w:hint="eastAsia" w:asciiTheme="minorEastAsia" w:hAnsiTheme="minorEastAsia" w:eastAsiaTheme="minorEastAsia" w:cstheme="minorEastAsia"/>
          <w:color w:val="auto"/>
          <w:sz w:val="24"/>
          <w:szCs w:val="24"/>
        </w:rPr>
        <w:t>保证工期及</w:t>
      </w:r>
      <w:r>
        <w:rPr>
          <w:rFonts w:hint="eastAsia" w:asciiTheme="minorEastAsia" w:hAnsiTheme="minorEastAsia" w:eastAsiaTheme="minorEastAsia" w:cstheme="minorEastAsia"/>
          <w:color w:val="auto"/>
          <w:sz w:val="24"/>
          <w:szCs w:val="24"/>
          <w:lang w:val="en-US" w:eastAsia="zh-CN"/>
        </w:rPr>
        <w:t>施工进度设施计划；</w:t>
      </w:r>
      <w:r>
        <w:rPr>
          <w:rFonts w:hint="eastAsia" w:asciiTheme="minorEastAsia" w:hAnsiTheme="minorEastAsia" w:eastAsiaTheme="minorEastAsia" w:cstheme="minorEastAsia"/>
          <w:color w:val="auto"/>
          <w:sz w:val="24"/>
          <w:szCs w:val="24"/>
        </w:rPr>
        <w:t>文明</w:t>
      </w:r>
      <w:r>
        <w:rPr>
          <w:rFonts w:hint="eastAsia" w:asciiTheme="minorEastAsia" w:hAnsiTheme="minorEastAsia" w:eastAsiaTheme="minorEastAsia" w:cstheme="minorEastAsia"/>
          <w:color w:val="auto"/>
          <w:sz w:val="24"/>
          <w:szCs w:val="24"/>
          <w:lang w:val="en-US" w:eastAsia="zh-CN"/>
        </w:rPr>
        <w:t>及环保</w:t>
      </w:r>
      <w:r>
        <w:rPr>
          <w:rFonts w:hint="eastAsia" w:asciiTheme="minorEastAsia" w:hAnsiTheme="minorEastAsia" w:eastAsiaTheme="minorEastAsia" w:cstheme="minorEastAsia"/>
          <w:color w:val="auto"/>
          <w:sz w:val="24"/>
          <w:szCs w:val="24"/>
        </w:rPr>
        <w:t>施工管理措施；质量保证措施；安全保证措施等方面的内容</w:t>
      </w:r>
      <w:r>
        <w:rPr>
          <w:rFonts w:hint="eastAsia" w:asciiTheme="minorEastAsia" w:hAnsiTheme="minorEastAsia" w:eastAsiaTheme="minorEastAsia" w:cstheme="minorEastAsia"/>
          <w:sz w:val="24"/>
          <w:szCs w:val="24"/>
        </w:rPr>
        <w:t>。</w:t>
      </w:r>
    </w:p>
    <w:p w14:paraId="4515497D">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响应供应商</w:t>
      </w:r>
      <w:r>
        <w:rPr>
          <w:rFonts w:hint="eastAsia" w:asciiTheme="minorEastAsia" w:hAnsiTheme="minorEastAsia" w:eastAsiaTheme="minorEastAsia" w:cstheme="minorEastAsia"/>
          <w:sz w:val="24"/>
          <w:szCs w:val="24"/>
        </w:rPr>
        <w:t>须严格按照已经确认的施工方案组织施工，并接受采购人或其委托的监理单位对工程质量、工期、安全、文明施工、环保及工地纪律的监督和管理。</w:t>
      </w:r>
    </w:p>
    <w:p w14:paraId="210CB870">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在工程施工期间，须严格遵守政府职能部门的各项规章制度，由于管理不善，导致政府职能部门的罚款和停工整改，由此所产生的罚款费用与损失由</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自行承担，且采购人保留暂缓支付工程款的权利，以确保文明施工有效实行。</w:t>
      </w:r>
    </w:p>
    <w:p w14:paraId="4698DE45">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5.成交</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在工程施工期间须配备专职安全员，建立健全安全制度。</w:t>
      </w:r>
    </w:p>
    <w:p w14:paraId="1759DA1C">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6.成交</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在施工期间须建立施工安全用电制度，确保施工用电设备的完好无损，并设置漏电保护装置。</w:t>
      </w:r>
    </w:p>
    <w:p w14:paraId="10E9DDCC">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本工程项目的材料、设备、施工须达到现行中华人民共和国以及广东省行业的工程建设标准、规范的要求，并接受采购人、委托的监理单位对材料质量现场抽检。</w:t>
      </w:r>
    </w:p>
    <w:p w14:paraId="693B69BE">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lang w:eastAsia="zh-CN"/>
        </w:rPr>
        <w:t>响应供应商</w:t>
      </w:r>
      <w:r>
        <w:rPr>
          <w:rFonts w:hint="eastAsia" w:asciiTheme="minorEastAsia" w:hAnsiTheme="minorEastAsia" w:eastAsiaTheme="minorEastAsia" w:cstheme="minorEastAsia"/>
          <w:sz w:val="24"/>
          <w:szCs w:val="24"/>
        </w:rPr>
        <w:t>须自行解决工人宿舍用地、食堂与生活设施等场地问题</w:t>
      </w:r>
      <w:r>
        <w:rPr>
          <w:rFonts w:hint="eastAsia" w:asciiTheme="minorEastAsia" w:hAnsiTheme="minorEastAsia" w:eastAsiaTheme="minorEastAsia" w:cstheme="minorEastAsia"/>
          <w:color w:val="auto"/>
          <w:sz w:val="24"/>
          <w:szCs w:val="24"/>
          <w:lang w:val="en-US" w:eastAsia="zh-CN"/>
        </w:rPr>
        <w:t>，并自行承担全部费用</w:t>
      </w:r>
      <w:r>
        <w:rPr>
          <w:rFonts w:hint="eastAsia" w:asciiTheme="minorEastAsia" w:hAnsiTheme="minorEastAsia" w:eastAsiaTheme="minorEastAsia" w:cstheme="minorEastAsia"/>
          <w:sz w:val="24"/>
          <w:szCs w:val="24"/>
        </w:rPr>
        <w:t>。</w:t>
      </w:r>
    </w:p>
    <w:p w14:paraId="4E1F174C">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施工用水、用电如需学校支持配合的，由采购人指定现场驳接点，由</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自行布线管、加表计量，并向采购人交付水、电费</w:t>
      </w:r>
      <w:r>
        <w:rPr>
          <w:rFonts w:hint="eastAsia" w:asciiTheme="minorEastAsia" w:hAnsiTheme="minorEastAsia" w:eastAsiaTheme="minorEastAsia" w:cstheme="minorEastAsia"/>
          <w:color w:val="auto"/>
          <w:sz w:val="24"/>
          <w:szCs w:val="24"/>
          <w:lang w:val="en-US" w:eastAsia="zh-CN"/>
        </w:rPr>
        <w:t>（水、电费一般在结算审核中由采购人和成交供应商共同确认后向第三方审核单位提供相关资料并审核后扣减）</w:t>
      </w:r>
      <w:r>
        <w:rPr>
          <w:rFonts w:hint="eastAsia" w:asciiTheme="minorEastAsia" w:hAnsiTheme="minorEastAsia" w:eastAsiaTheme="minorEastAsia" w:cstheme="minorEastAsia"/>
          <w:sz w:val="24"/>
          <w:szCs w:val="24"/>
        </w:rPr>
        <w:t>。</w:t>
      </w:r>
    </w:p>
    <w:p w14:paraId="2D814646">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10.成交</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lang w:val="en-US" w:eastAsia="zh-CN"/>
        </w:rPr>
        <w:t>须将</w:t>
      </w:r>
      <w:r>
        <w:rPr>
          <w:rFonts w:hint="eastAsia" w:asciiTheme="minorEastAsia" w:hAnsiTheme="minorEastAsia" w:eastAsiaTheme="minorEastAsia" w:cstheme="minorEastAsia"/>
          <w:sz w:val="24"/>
          <w:szCs w:val="24"/>
        </w:rPr>
        <w:t>建筑垃圾须及时清运干净，施工过程中应采取必要的有效措施减少对采购人单位进出人员的生活、工作造成的影响，并确保各方人员的安全，施工区域内由于</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color w:val="auto"/>
          <w:sz w:val="24"/>
          <w:szCs w:val="24"/>
          <w:lang w:val="en-US" w:eastAsia="zh-CN"/>
        </w:rPr>
        <w:t>原因</w:t>
      </w:r>
      <w:r>
        <w:rPr>
          <w:rFonts w:hint="eastAsia" w:asciiTheme="minorEastAsia" w:hAnsiTheme="minorEastAsia" w:eastAsiaTheme="minorEastAsia" w:cstheme="minorEastAsia"/>
          <w:sz w:val="24"/>
          <w:szCs w:val="24"/>
        </w:rPr>
        <w:t>造成的一切人员的伤亡，均由</w:t>
      </w:r>
      <w:r>
        <w:rPr>
          <w:rFonts w:hint="eastAsia" w:asciiTheme="minorEastAsia" w:hAnsiTheme="minorEastAsia" w:eastAsiaTheme="minorEastAsia" w:cstheme="minorEastAsia"/>
          <w:sz w:val="24"/>
          <w:szCs w:val="24"/>
          <w:lang w:val="en-US" w:eastAsia="zh-CN"/>
        </w:rPr>
        <w:t>成交</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承担由此产生的一切赔偿等后果。</w:t>
      </w:r>
    </w:p>
    <w:p w14:paraId="36E3A048">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lang w:eastAsia="zh-CN"/>
        </w:rPr>
        <w:t>响应供应商</w:t>
      </w:r>
      <w:r>
        <w:rPr>
          <w:rFonts w:hint="eastAsia" w:asciiTheme="minorEastAsia" w:hAnsiTheme="minorEastAsia" w:eastAsiaTheme="minorEastAsia" w:cstheme="minorEastAsia"/>
          <w:sz w:val="24"/>
          <w:szCs w:val="24"/>
          <w:lang w:val="en-US" w:eastAsia="zh-CN"/>
        </w:rPr>
        <w:t>的</w:t>
      </w:r>
      <w:r>
        <w:rPr>
          <w:rFonts w:hint="eastAsia" w:asciiTheme="minorEastAsia" w:hAnsiTheme="minorEastAsia" w:eastAsiaTheme="minorEastAsia" w:cstheme="minorEastAsia"/>
          <w:sz w:val="24"/>
          <w:szCs w:val="24"/>
        </w:rPr>
        <w:t>施工队伍须接受现场管理单位的监督、管理和指导，无条件遵守采购人的各项规定。</w:t>
      </w:r>
    </w:p>
    <w:p w14:paraId="0506E34A">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施工所用的机械工具由施工队伍自备及自费运到施工工地，进场后进行必要的性能安全检查，完工后从工地自费搬出运走，施工所用的材料及机械工具由采购人提供适当的场所存放并由施工队伍自行保管，</w:t>
      </w:r>
      <w:r>
        <w:rPr>
          <w:rFonts w:hint="eastAsia" w:asciiTheme="minorEastAsia" w:hAnsiTheme="minorEastAsia" w:eastAsiaTheme="minorEastAsia" w:cstheme="minorEastAsia"/>
          <w:color w:val="auto"/>
          <w:sz w:val="24"/>
          <w:szCs w:val="24"/>
          <w:lang w:val="en-US" w:eastAsia="zh-CN"/>
        </w:rPr>
        <w:t>成交供应商自行承担毁损、灭失风险，不得随便存放，以免造成不必要的丢失、损坏</w:t>
      </w:r>
      <w:r>
        <w:rPr>
          <w:rFonts w:hint="eastAsia" w:asciiTheme="minorEastAsia" w:hAnsiTheme="minorEastAsia" w:eastAsiaTheme="minorEastAsia" w:cstheme="minorEastAsia"/>
          <w:sz w:val="24"/>
          <w:szCs w:val="24"/>
        </w:rPr>
        <w:t>。</w:t>
      </w:r>
    </w:p>
    <w:p w14:paraId="689B4C5B">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在施工期间应严格遵守国家、省、市有关防火、防爆和施工安全以及文明施工，深夜施工、环卫、治安与城管等规定，应建立规章制度和防护、防范措施，并承担由于自身措施不力造成事故责任和发生的费用。</w:t>
      </w:r>
    </w:p>
    <w:p w14:paraId="0872B1DA">
      <w:pPr>
        <w:spacing w:line="360" w:lineRule="auto"/>
        <w:outlineLvl w:val="1"/>
        <w:rPr>
          <w:rFonts w:hint="eastAsia" w:ascii="宋体" w:hAnsi="宋体" w:eastAsia="宋体" w:cs="Tahoma"/>
          <w:b/>
          <w:sz w:val="24"/>
          <w:lang w:eastAsia="zh-CN"/>
        </w:rPr>
      </w:pPr>
      <w:bookmarkStart w:id="71" w:name="_Toc472"/>
      <w:bookmarkStart w:id="72" w:name="_Toc21466"/>
      <w:bookmarkStart w:id="73" w:name="_Toc7305"/>
      <w:bookmarkStart w:id="74" w:name="_Toc20471"/>
      <w:r>
        <w:rPr>
          <w:rFonts w:hint="eastAsia" w:ascii="宋体" w:hAnsi="宋体" w:eastAsia="宋体" w:cs="Tahoma"/>
          <w:b/>
          <w:sz w:val="24"/>
          <w:lang w:eastAsia="zh-CN"/>
        </w:rPr>
        <w:t>三、技术要求</w:t>
      </w:r>
      <w:bookmarkEnd w:id="71"/>
      <w:bookmarkEnd w:id="72"/>
      <w:bookmarkEnd w:id="73"/>
      <w:bookmarkEnd w:id="74"/>
    </w:p>
    <w:p w14:paraId="02466F0A">
      <w:pPr>
        <w:keepNext w:val="0"/>
        <w:keepLines w:val="0"/>
        <w:pageBreakBefore w:val="0"/>
        <w:widowControl w:val="0"/>
        <w:kinsoku/>
        <w:wordWrap/>
        <w:overflowPunct/>
        <w:topLinePunct w:val="0"/>
        <w:autoSpaceDE/>
        <w:autoSpaceDN/>
        <w:bidi w:val="0"/>
        <w:adjustRightInd/>
        <w:snapToGrid w:val="0"/>
        <w:spacing w:line="360" w:lineRule="auto"/>
        <w:ind w:left="0" w:leftChars="0" w:firstLine="482" w:firstLineChars="200"/>
        <w:textAlignment w:val="auto"/>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lang w:val="en-US" w:eastAsia="zh-CN"/>
        </w:rPr>
        <w:t>一</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rPr>
        <w:t>材料及设备供应要求</w:t>
      </w:r>
    </w:p>
    <w:p w14:paraId="258C33B0">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本工程所承包范围内所需的材料、成品、未成品的采购、运输、保管、质量等责任均由</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承担，采购人不提供任何材料。</w:t>
      </w:r>
    </w:p>
    <w:p w14:paraId="15D4B4DB">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采购供应的材料，其名称、品种、型号、规格、质量等，均应符合国家、地方及行业有关规范及要求，并能满足采购人的要求。</w:t>
      </w:r>
    </w:p>
    <w:p w14:paraId="4D4EF3C7">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所有材料都有材料质检部门出具的合格证明，经</w:t>
      </w:r>
      <w:r>
        <w:rPr>
          <w:rFonts w:hint="eastAsia" w:asciiTheme="minorEastAsia" w:hAnsiTheme="minorEastAsia" w:eastAsiaTheme="minorEastAsia" w:cstheme="minorEastAsia"/>
          <w:color w:val="auto"/>
          <w:sz w:val="24"/>
          <w:szCs w:val="24"/>
          <w:highlight w:val="none"/>
          <w:lang w:val="en-US" w:eastAsia="zh-CN"/>
        </w:rPr>
        <w:t>本项目监理单位和</w:t>
      </w:r>
      <w:r>
        <w:rPr>
          <w:rFonts w:hint="eastAsia" w:asciiTheme="minorEastAsia" w:hAnsiTheme="minorEastAsia" w:eastAsiaTheme="minorEastAsia" w:cstheme="minorEastAsia"/>
          <w:sz w:val="24"/>
          <w:szCs w:val="24"/>
        </w:rPr>
        <w:t>采购人同意方可使用，并保证产品的有效性。</w:t>
      </w:r>
    </w:p>
    <w:p w14:paraId="5E4B9ECA">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由于</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提供的伪劣、假冒等所有不合格材料而导致的损失、事故及一切后果，均由</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负责并赔偿采购人所有损失，并负责免费更换所有已施工的不合格材料。</w:t>
      </w:r>
    </w:p>
    <w:p w14:paraId="4589F6E5">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若</w:t>
      </w:r>
      <w:r>
        <w:rPr>
          <w:rFonts w:hint="eastAsia" w:asciiTheme="minorEastAsia" w:hAnsiTheme="minorEastAsia" w:eastAsiaTheme="minorEastAsia" w:cstheme="minorEastAsia"/>
          <w:sz w:val="24"/>
          <w:szCs w:val="24"/>
          <w:lang w:eastAsia="zh-CN"/>
        </w:rPr>
        <w:t>响应供应商</w:t>
      </w:r>
      <w:r>
        <w:rPr>
          <w:rFonts w:hint="eastAsia" w:asciiTheme="minorEastAsia" w:hAnsiTheme="minorEastAsia" w:eastAsiaTheme="minorEastAsia" w:cstheme="minorEastAsia"/>
          <w:sz w:val="24"/>
          <w:szCs w:val="24"/>
        </w:rPr>
        <w:t>使用的标准在本报价技术要求的规定外，</w:t>
      </w:r>
      <w:r>
        <w:rPr>
          <w:rFonts w:hint="eastAsia" w:asciiTheme="minorEastAsia" w:hAnsiTheme="minorEastAsia" w:eastAsiaTheme="minorEastAsia" w:cstheme="minorEastAsia"/>
          <w:sz w:val="24"/>
          <w:szCs w:val="24"/>
          <w:lang w:eastAsia="zh-CN"/>
        </w:rPr>
        <w:t>响应供应商</w:t>
      </w:r>
      <w:r>
        <w:rPr>
          <w:rFonts w:hint="eastAsia" w:asciiTheme="minorEastAsia" w:hAnsiTheme="minorEastAsia" w:eastAsiaTheme="minorEastAsia" w:cstheme="minorEastAsia"/>
          <w:sz w:val="24"/>
          <w:szCs w:val="24"/>
        </w:rPr>
        <w:t>应明确说明用于替代的标准或使用规范并提供所使用的标准，该标准是国际公认的同等或更高级的标准，如</w:t>
      </w:r>
      <w:r>
        <w:rPr>
          <w:rFonts w:hint="eastAsia" w:asciiTheme="minorEastAsia" w:hAnsiTheme="minorEastAsia" w:eastAsiaTheme="minorEastAsia" w:cstheme="minorEastAsia"/>
          <w:sz w:val="24"/>
          <w:szCs w:val="24"/>
          <w:lang w:eastAsia="zh-CN"/>
        </w:rPr>
        <w:t>响应供应商</w:t>
      </w:r>
      <w:r>
        <w:rPr>
          <w:rFonts w:hint="eastAsia" w:asciiTheme="minorEastAsia" w:hAnsiTheme="minorEastAsia" w:eastAsiaTheme="minorEastAsia" w:cstheme="minorEastAsia"/>
          <w:sz w:val="24"/>
          <w:szCs w:val="24"/>
        </w:rPr>
        <w:t>所使用的标准低于上述标准，采购人将有权不予接受。</w:t>
      </w:r>
    </w:p>
    <w:p w14:paraId="114AFDCB">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工程实施时，如发生货不对板，采购人有权拒用，造成损失由</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承担。</w:t>
      </w:r>
    </w:p>
    <w:p w14:paraId="44959661">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采购人保留对本工程使用之主要材料品质确认审查的权利及保留另行委托专业队伍对本工程进行独立检测的权利。</w:t>
      </w:r>
    </w:p>
    <w:p w14:paraId="672E605E">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color w:val="auto"/>
          <w:sz w:val="24"/>
          <w:szCs w:val="24"/>
          <w:lang w:val="en-US" w:eastAsia="zh-CN"/>
        </w:rPr>
        <w:t>报价范围之内工程所用之设备、材料，由成交供应商提供，费用包含至响应报价内</w:t>
      </w:r>
      <w:r>
        <w:rPr>
          <w:rFonts w:hint="eastAsia" w:asciiTheme="minorEastAsia" w:hAnsiTheme="minorEastAsia" w:eastAsiaTheme="minorEastAsia" w:cstheme="minorEastAsia"/>
          <w:sz w:val="24"/>
          <w:szCs w:val="24"/>
        </w:rPr>
        <w:t>。</w:t>
      </w:r>
    </w:p>
    <w:p w14:paraId="7D8DCD36">
      <w:pPr>
        <w:keepNext w:val="0"/>
        <w:keepLines w:val="0"/>
        <w:pageBreakBefore w:val="0"/>
        <w:widowControl w:val="0"/>
        <w:kinsoku/>
        <w:wordWrap/>
        <w:overflowPunct/>
        <w:topLinePunct w:val="0"/>
        <w:autoSpaceDE/>
        <w:autoSpaceDN/>
        <w:bidi w:val="0"/>
        <w:adjustRightInd/>
        <w:snapToGrid w:val="0"/>
        <w:spacing w:line="360" w:lineRule="auto"/>
        <w:ind w:left="0" w:leftChars="0" w:firstLine="482" w:firstLineChars="200"/>
        <w:textAlignment w:val="auto"/>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lang w:val="en-US" w:eastAsia="zh-CN"/>
        </w:rPr>
        <w:t>二</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rPr>
        <w:t>其他说明</w:t>
      </w:r>
    </w:p>
    <w:p w14:paraId="74C3AFD3">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1.成交</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成交后，不许转包，不许擅自分包。不许随意更换响应文件中所报的项目经理，如确须更换，则事前须征得采购人同意，如有违反，一经发现取消成交资格，并赔偿由此造成的一切损失(</w:t>
      </w:r>
      <w:r>
        <w:rPr>
          <w:rFonts w:hint="eastAsia" w:asciiTheme="minorEastAsia" w:hAnsiTheme="minorEastAsia" w:eastAsiaTheme="minorEastAsia" w:cstheme="minorEastAsia"/>
          <w:color w:val="auto"/>
          <w:sz w:val="24"/>
          <w:szCs w:val="24"/>
          <w:highlight w:val="none"/>
        </w:rPr>
        <w:t>包含</w:t>
      </w:r>
      <w:r>
        <w:rPr>
          <w:rFonts w:hint="eastAsia" w:asciiTheme="minorEastAsia" w:hAnsiTheme="minorEastAsia" w:eastAsiaTheme="minorEastAsia" w:cstheme="minorEastAsia"/>
          <w:color w:val="auto"/>
          <w:sz w:val="24"/>
          <w:szCs w:val="24"/>
          <w:highlight w:val="none"/>
          <w:lang w:val="en-US" w:eastAsia="zh-CN"/>
        </w:rPr>
        <w:t>但不限于</w:t>
      </w:r>
      <w:r>
        <w:rPr>
          <w:rFonts w:hint="eastAsia" w:asciiTheme="minorEastAsia" w:hAnsiTheme="minorEastAsia" w:eastAsiaTheme="minorEastAsia" w:cstheme="minorEastAsia"/>
          <w:sz w:val="24"/>
          <w:szCs w:val="24"/>
        </w:rPr>
        <w:t>质量安全事故、拖延工期、增加投资等损失)。在施工过程中，造成损失的，按实际发生额赔偿。</w:t>
      </w:r>
    </w:p>
    <w:p w14:paraId="1E78CC5D">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在工程进行中，</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要注意保护现场内的各种管线和设施。若有任何损坏，须立即通知有关部门，并由损坏责任单位承担损失和修复费用。</w:t>
      </w:r>
    </w:p>
    <w:p w14:paraId="2828C904">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在整个施工期间都应遵守采购人的规章制度。</w:t>
      </w:r>
    </w:p>
    <w:p w14:paraId="6D4ADD5D">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采购人协助</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办理施工报建等有关手续，采购人提供有关资料。</w:t>
      </w:r>
    </w:p>
    <w:p w14:paraId="1D94D0EE">
      <w:pPr>
        <w:spacing w:line="360" w:lineRule="auto"/>
        <w:outlineLvl w:val="1"/>
        <w:rPr>
          <w:rFonts w:hint="eastAsia" w:ascii="宋体" w:hAnsi="宋体" w:eastAsia="宋体" w:cs="Tahoma"/>
          <w:b/>
          <w:sz w:val="24"/>
          <w:lang w:eastAsia="zh-CN"/>
        </w:rPr>
      </w:pPr>
      <w:bookmarkStart w:id="75" w:name="_Toc28701"/>
      <w:bookmarkStart w:id="76" w:name="_Toc30413"/>
      <w:bookmarkStart w:id="77" w:name="_Toc7590"/>
      <w:bookmarkStart w:id="78" w:name="_Toc29107"/>
      <w:r>
        <w:rPr>
          <w:rFonts w:hint="eastAsia" w:ascii="宋体" w:hAnsi="宋体" w:cs="Tahoma"/>
          <w:b/>
          <w:sz w:val="24"/>
          <w:lang w:val="en-US" w:eastAsia="zh-CN"/>
        </w:rPr>
        <w:t>四</w:t>
      </w:r>
      <w:r>
        <w:rPr>
          <w:rFonts w:hint="eastAsia" w:ascii="宋体" w:hAnsi="宋体" w:cs="Tahoma"/>
          <w:b/>
          <w:sz w:val="24"/>
          <w:lang w:eastAsia="zh-CN"/>
        </w:rPr>
        <w:t>、</w:t>
      </w:r>
      <w:bookmarkEnd w:id="75"/>
      <w:r>
        <w:rPr>
          <w:rFonts w:hint="eastAsia" w:asciiTheme="minorEastAsia" w:hAnsiTheme="minorEastAsia" w:eastAsiaTheme="minorEastAsia" w:cstheme="minorEastAsia"/>
          <w:b/>
          <w:color w:val="auto"/>
          <w:sz w:val="24"/>
          <w:szCs w:val="24"/>
          <w:lang w:eastAsia="zh-CN"/>
        </w:rPr>
        <w:t>工程结算</w:t>
      </w:r>
      <w:r>
        <w:rPr>
          <w:rFonts w:hint="eastAsia" w:asciiTheme="minorEastAsia" w:hAnsiTheme="minorEastAsia" w:eastAsiaTheme="minorEastAsia" w:cstheme="minorEastAsia"/>
          <w:b/>
          <w:color w:val="auto"/>
          <w:sz w:val="24"/>
          <w:szCs w:val="24"/>
          <w:lang w:val="en-US" w:eastAsia="zh-CN"/>
        </w:rPr>
        <w:t>及</w:t>
      </w:r>
      <w:r>
        <w:rPr>
          <w:rFonts w:hint="eastAsia" w:asciiTheme="minorEastAsia" w:hAnsiTheme="minorEastAsia" w:eastAsiaTheme="minorEastAsia" w:cstheme="minorEastAsia"/>
          <w:b/>
          <w:color w:val="auto"/>
          <w:sz w:val="24"/>
          <w:szCs w:val="24"/>
          <w:lang w:eastAsia="zh-CN"/>
        </w:rPr>
        <w:t>工程量清单</w:t>
      </w:r>
      <w:bookmarkEnd w:id="76"/>
      <w:bookmarkEnd w:id="77"/>
      <w:bookmarkEnd w:id="78"/>
    </w:p>
    <w:p w14:paraId="397C4469">
      <w:pPr>
        <w:pStyle w:val="25"/>
        <w:keepNext w:val="0"/>
        <w:keepLines w:val="0"/>
        <w:pageBreakBefore w:val="0"/>
        <w:widowControl w:val="0"/>
        <w:kinsoku/>
        <w:wordWrap/>
        <w:overflowPunct/>
        <w:topLinePunct w:val="0"/>
        <w:autoSpaceDE/>
        <w:autoSpaceDN/>
        <w:bidi w:val="0"/>
        <w:adjustRightInd/>
        <w:spacing w:line="360" w:lineRule="auto"/>
        <w:ind w:left="0" w:leftChars="0" w:firstLine="482" w:firstLineChars="200"/>
        <w:textAlignment w:val="auto"/>
        <w:outlineLvl w:val="9"/>
        <w:rPr>
          <w:rFonts w:hint="eastAsia" w:asciiTheme="minorEastAsia" w:hAnsiTheme="minorEastAsia" w:eastAsiaTheme="minorEastAsia" w:cstheme="minorEastAsia"/>
          <w:color w:val="auto"/>
          <w:sz w:val="24"/>
          <w:szCs w:val="24"/>
          <w:lang w:val="en-US" w:eastAsia="zh-CN"/>
        </w:rPr>
      </w:pPr>
      <w:bookmarkStart w:id="79" w:name="_Toc26656"/>
      <w:r>
        <w:rPr>
          <w:rFonts w:hint="eastAsia" w:asciiTheme="minorEastAsia" w:hAnsiTheme="minorEastAsia" w:eastAsiaTheme="minorEastAsia" w:cstheme="minorEastAsia"/>
          <w:b/>
          <w:bCs/>
          <w:color w:val="auto"/>
          <w:sz w:val="24"/>
          <w:szCs w:val="24"/>
          <w:lang w:val="en-US" w:eastAsia="zh-CN"/>
        </w:rPr>
        <w:t>（一）施工图、</w:t>
      </w:r>
      <w:r>
        <w:rPr>
          <w:rFonts w:hint="eastAsia" w:asciiTheme="minorEastAsia" w:hAnsiTheme="minorEastAsia" w:eastAsiaTheme="minorEastAsia" w:cstheme="minorEastAsia"/>
          <w:b/>
          <w:bCs/>
          <w:color w:val="auto"/>
          <w:sz w:val="24"/>
          <w:szCs w:val="24"/>
        </w:rPr>
        <w:t>工程量清单（</w:t>
      </w:r>
      <w:r>
        <w:rPr>
          <w:rFonts w:hint="eastAsia" w:asciiTheme="minorEastAsia" w:hAnsiTheme="minorEastAsia" w:eastAsiaTheme="minorEastAsia" w:cstheme="minorEastAsia"/>
          <w:b/>
          <w:bCs/>
          <w:color w:val="auto"/>
          <w:sz w:val="24"/>
          <w:szCs w:val="24"/>
          <w:lang w:val="en-US" w:eastAsia="zh-CN"/>
        </w:rPr>
        <w:t>详见附件</w:t>
      </w:r>
      <w:r>
        <w:rPr>
          <w:rFonts w:hint="eastAsia" w:asciiTheme="minorEastAsia" w:hAnsiTheme="minorEastAsia" w:eastAsiaTheme="minorEastAsia" w:cstheme="minorEastAsia"/>
          <w:b/>
          <w:bCs/>
          <w:color w:val="auto"/>
          <w:sz w:val="24"/>
          <w:szCs w:val="24"/>
        </w:rPr>
        <w:t>）</w:t>
      </w:r>
    </w:p>
    <w:p w14:paraId="53778133">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outlineLvl w:val="9"/>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color w:val="auto"/>
          <w:sz w:val="24"/>
          <w:szCs w:val="24"/>
          <w:lang w:val="en-US" w:eastAsia="zh-CN"/>
        </w:rPr>
        <w:t>（二）工程量清单</w:t>
      </w:r>
      <w:bookmarkEnd w:id="79"/>
    </w:p>
    <w:p w14:paraId="0074CE52">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w:t>
      </w:r>
      <w:r>
        <w:rPr>
          <w:rFonts w:hint="eastAsia" w:asciiTheme="minorEastAsia" w:hAnsiTheme="minorEastAsia" w:eastAsiaTheme="minorEastAsia" w:cstheme="minorEastAsia"/>
          <w:b w:val="0"/>
          <w:bCs/>
          <w:sz w:val="24"/>
          <w:szCs w:val="24"/>
        </w:rPr>
        <w:t>编制说明</w:t>
      </w:r>
    </w:p>
    <w:p w14:paraId="54C8B538">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工程量清单/图纸应连同合同条款、技术规范及质量验收规范、本说明的所有条款以及其他有关计价规范同时阅读、同时理解或解释。</w:t>
      </w:r>
      <w:r>
        <w:rPr>
          <w:rFonts w:hint="eastAsia" w:asciiTheme="minorEastAsia" w:hAnsiTheme="minorEastAsia" w:eastAsiaTheme="minorEastAsia" w:cstheme="minorEastAsia"/>
          <w:sz w:val="24"/>
          <w:szCs w:val="24"/>
          <w:lang w:eastAsia="zh-CN"/>
        </w:rPr>
        <w:t>响应供应商</w:t>
      </w:r>
      <w:r>
        <w:rPr>
          <w:rFonts w:hint="eastAsia" w:asciiTheme="minorEastAsia" w:hAnsiTheme="minorEastAsia" w:eastAsiaTheme="minorEastAsia" w:cstheme="minorEastAsia"/>
          <w:sz w:val="24"/>
          <w:szCs w:val="24"/>
        </w:rPr>
        <w:t>应全面仔细阅读和理解</w:t>
      </w:r>
      <w:r>
        <w:rPr>
          <w:rFonts w:hint="eastAsia" w:asciiTheme="minorEastAsia" w:hAnsiTheme="minorEastAsia" w:eastAsiaTheme="minorEastAsia" w:cstheme="minorEastAsia"/>
          <w:sz w:val="24"/>
          <w:szCs w:val="24"/>
          <w:lang w:eastAsia="zh-CN"/>
        </w:rPr>
        <w:t>遴选文件</w:t>
      </w:r>
      <w:r>
        <w:rPr>
          <w:rFonts w:hint="eastAsia" w:asciiTheme="minorEastAsia" w:hAnsiTheme="minorEastAsia" w:eastAsiaTheme="minorEastAsia" w:cstheme="minorEastAsia"/>
          <w:sz w:val="24"/>
          <w:szCs w:val="24"/>
        </w:rPr>
        <w:t>中有关承包范围、技术标准、施工要求、质量目标、工期要求、合同义务和费用等条款，并充分考察施工现场情况和条件（包括地下情况、交通条件、水电条件、场地条件等），充分考虑各种不利影响所带来的风险，结合自身企业的条件报价。</w:t>
      </w:r>
    </w:p>
    <w:p w14:paraId="1BD1166B">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本项目的工程量清单由工程总价，分部分项工程费（含分部分项工程量清单及其综合单价）、措施项目费（含措施项目清单及其费用）、其他项目费（含其他项目清单及其综合单价或费用）、主要材料价格及规费组成。</w:t>
      </w:r>
    </w:p>
    <w:p w14:paraId="7E470241">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凡工程量清单成交有数量的每个项目均须填入综合单价和合价，</w:t>
      </w:r>
      <w:r>
        <w:rPr>
          <w:rFonts w:hint="eastAsia" w:asciiTheme="minorEastAsia" w:hAnsiTheme="minorEastAsia" w:eastAsiaTheme="minorEastAsia" w:cstheme="minorEastAsia"/>
          <w:sz w:val="24"/>
          <w:szCs w:val="24"/>
          <w:lang w:eastAsia="zh-CN"/>
        </w:rPr>
        <w:t>响应供应商</w:t>
      </w:r>
      <w:r>
        <w:rPr>
          <w:rFonts w:hint="eastAsia" w:asciiTheme="minorEastAsia" w:hAnsiTheme="minorEastAsia" w:eastAsiaTheme="minorEastAsia" w:cstheme="minorEastAsia"/>
          <w:sz w:val="24"/>
          <w:szCs w:val="24"/>
        </w:rPr>
        <w:t>不得自行修改工程量清单的项目及数量。</w:t>
      </w:r>
    </w:p>
    <w:p w14:paraId="133957C9">
      <w:pPr>
        <w:keepNext w:val="0"/>
        <w:keepLines w:val="0"/>
        <w:pageBreakBefore w:val="0"/>
        <w:widowControl w:val="0"/>
        <w:kinsoku/>
        <w:wordWrap/>
        <w:overflowPunct/>
        <w:topLinePunct w:val="0"/>
        <w:autoSpaceDE/>
        <w:autoSpaceDN/>
        <w:bidi w:val="0"/>
        <w:adjustRightInd/>
        <w:snapToGrid w:val="0"/>
        <w:spacing w:line="360" w:lineRule="auto"/>
        <w:ind w:left="0" w:leftChars="0" w:firstLine="482" w:firstLineChars="200"/>
        <w:textAlignment w:val="auto"/>
        <w:outlineLvl w:val="9"/>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（三）报价要求</w:t>
      </w:r>
    </w:p>
    <w:p w14:paraId="097B7AB3">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工程报价应包括</w:t>
      </w:r>
      <w:r>
        <w:rPr>
          <w:rFonts w:hint="eastAsia" w:asciiTheme="minorEastAsia" w:hAnsiTheme="minorEastAsia" w:eastAsiaTheme="minorEastAsia" w:cstheme="minorEastAsia"/>
          <w:sz w:val="24"/>
          <w:szCs w:val="24"/>
          <w:lang w:eastAsia="zh-CN"/>
        </w:rPr>
        <w:t>遴选文件</w:t>
      </w:r>
      <w:r>
        <w:rPr>
          <w:rFonts w:hint="eastAsia" w:asciiTheme="minorEastAsia" w:hAnsiTheme="minorEastAsia" w:eastAsiaTheme="minorEastAsia" w:cstheme="minorEastAsia"/>
          <w:sz w:val="24"/>
          <w:szCs w:val="24"/>
        </w:rPr>
        <w:t>规定，完成本项目工程内容的全部费用，包括分部分项工程费用、措施项目费、其他项目费和规费</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包工、包料、包机械设备、包质量、包工期、包安全、包文明施工、包验收（合格或以上）、包资料移交（归档）、各项税费及合同实施过程中不可预见费用等</w:t>
      </w:r>
      <w:r>
        <w:rPr>
          <w:rFonts w:hint="eastAsia" w:asciiTheme="minorEastAsia" w:hAnsiTheme="minorEastAsia" w:eastAsiaTheme="minorEastAsia" w:cstheme="minorEastAsia"/>
          <w:color w:val="auto"/>
          <w:sz w:val="24"/>
          <w:szCs w:val="24"/>
        </w:rPr>
        <w:t>。</w:t>
      </w:r>
    </w:p>
    <w:p w14:paraId="57607406">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响应供应商</w:t>
      </w:r>
      <w:r>
        <w:rPr>
          <w:rFonts w:hint="eastAsia" w:asciiTheme="minorEastAsia" w:hAnsiTheme="minorEastAsia" w:eastAsiaTheme="minorEastAsia" w:cstheme="minorEastAsia"/>
          <w:sz w:val="24"/>
          <w:szCs w:val="24"/>
        </w:rPr>
        <w:t>的报价，应是按照工期要求，在响应文件所列的建设地点，完成包括</w:t>
      </w:r>
      <w:r>
        <w:rPr>
          <w:rFonts w:hint="eastAsia" w:asciiTheme="minorEastAsia" w:hAnsiTheme="minorEastAsia" w:eastAsiaTheme="minorEastAsia" w:cstheme="minorEastAsia"/>
          <w:sz w:val="24"/>
          <w:szCs w:val="24"/>
          <w:lang w:eastAsia="zh-CN"/>
        </w:rPr>
        <w:t>遴选文件</w:t>
      </w:r>
      <w:r>
        <w:rPr>
          <w:rFonts w:hint="eastAsia" w:asciiTheme="minorEastAsia" w:hAnsiTheme="minorEastAsia" w:eastAsiaTheme="minorEastAsia" w:cstheme="minorEastAsia"/>
          <w:sz w:val="24"/>
          <w:szCs w:val="24"/>
        </w:rPr>
        <w:t>、工程量清单、图纸范围内所有内容的全部费用，包括但不限于完成工作的成本、利润、税金、技术措施费、大型机械进出场费、风险费以及政策性文件规定费用等，不得以任何理由予以重复计算。</w:t>
      </w:r>
    </w:p>
    <w:p w14:paraId="5379D237">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凡工程量清单成交有数量的每个项目均须填入单价和合价，每一项目只允许有一个报价。任何有选择的报价将不予接受。</w:t>
      </w:r>
      <w:r>
        <w:rPr>
          <w:rFonts w:hint="eastAsia" w:asciiTheme="minorEastAsia" w:hAnsiTheme="minorEastAsia" w:eastAsiaTheme="minorEastAsia" w:cstheme="minorEastAsia"/>
          <w:sz w:val="24"/>
          <w:szCs w:val="24"/>
          <w:lang w:eastAsia="zh-CN"/>
        </w:rPr>
        <w:t>响应供应商</w:t>
      </w:r>
      <w:r>
        <w:rPr>
          <w:rFonts w:hint="eastAsia" w:asciiTheme="minorEastAsia" w:hAnsiTheme="minorEastAsia" w:eastAsiaTheme="minorEastAsia" w:cstheme="minorEastAsia"/>
          <w:sz w:val="24"/>
          <w:szCs w:val="24"/>
        </w:rPr>
        <w:t>未填报单价或合价的工程项目，视为完成该项目所需要费用已包含在其它有价款的竞争性报价内，在实施后，</w:t>
      </w:r>
      <w:r>
        <w:rPr>
          <w:rFonts w:hint="eastAsia" w:asciiTheme="minorEastAsia" w:hAnsiTheme="minorEastAsia" w:eastAsiaTheme="minorEastAsia" w:cstheme="minorEastAsia"/>
          <w:color w:val="auto"/>
          <w:sz w:val="24"/>
          <w:szCs w:val="24"/>
          <w:lang w:val="en-US" w:eastAsia="zh-CN"/>
        </w:rPr>
        <w:t>采购人将不再额外支付任何费用</w:t>
      </w:r>
      <w:r>
        <w:rPr>
          <w:rFonts w:hint="eastAsia" w:asciiTheme="minorEastAsia" w:hAnsiTheme="minorEastAsia" w:eastAsiaTheme="minorEastAsia" w:cstheme="minorEastAsia"/>
          <w:sz w:val="24"/>
          <w:szCs w:val="24"/>
        </w:rPr>
        <w:t>。</w:t>
      </w:r>
    </w:p>
    <w:p w14:paraId="0206A9F0">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措施项目费由</w:t>
      </w:r>
      <w:r>
        <w:rPr>
          <w:rFonts w:hint="eastAsia" w:asciiTheme="minorEastAsia" w:hAnsiTheme="minorEastAsia" w:eastAsiaTheme="minorEastAsia" w:cstheme="minorEastAsia"/>
          <w:sz w:val="24"/>
          <w:szCs w:val="24"/>
          <w:lang w:eastAsia="zh-CN"/>
        </w:rPr>
        <w:t>响应供应商</w:t>
      </w:r>
      <w:r>
        <w:rPr>
          <w:rFonts w:hint="eastAsia" w:asciiTheme="minorEastAsia" w:hAnsiTheme="minorEastAsia" w:eastAsiaTheme="minorEastAsia" w:cstheme="minorEastAsia"/>
          <w:sz w:val="24"/>
          <w:szCs w:val="24"/>
        </w:rPr>
        <w:t>根据工程的实际情况和施工组织设计的要求，发生于该工程施工前和施工过程中技术、生活、安全等方面的费用，并按综合单价计价。</w:t>
      </w:r>
    </w:p>
    <w:p w14:paraId="39B2FDE6">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工程项目特征未明确的均应符合本项目现场要求、</w:t>
      </w:r>
      <w:r>
        <w:rPr>
          <w:rFonts w:hint="eastAsia" w:asciiTheme="minorEastAsia" w:hAnsiTheme="minorEastAsia" w:eastAsiaTheme="minorEastAsia" w:cstheme="minorEastAsia"/>
          <w:sz w:val="24"/>
          <w:szCs w:val="24"/>
          <w:lang w:eastAsia="zh-CN"/>
        </w:rPr>
        <w:t>采购需求书</w:t>
      </w:r>
      <w:r>
        <w:rPr>
          <w:rFonts w:hint="eastAsia" w:asciiTheme="minorEastAsia" w:hAnsiTheme="minorEastAsia" w:eastAsiaTheme="minorEastAsia" w:cstheme="minorEastAsia"/>
          <w:sz w:val="24"/>
          <w:szCs w:val="24"/>
        </w:rPr>
        <w:t>及响应文件的技术规格书的技术要求，项目的工程内容除另有注明外均按完成该项目的所有工作内容，包括原有项目的拆除、材料及设备的采购、运输、保管、进场检验、安装、调试、维护保修等相关服务。</w:t>
      </w:r>
    </w:p>
    <w:p w14:paraId="01BF38B6">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材料的场内运输、装卸、吊装费用，应在报价中综合考虑，其他材料的二次搬运费用列入措施清单项目。</w:t>
      </w:r>
    </w:p>
    <w:p w14:paraId="5C111666">
      <w:pPr>
        <w:keepNext w:val="0"/>
        <w:keepLines w:val="0"/>
        <w:pageBreakBefore w:val="0"/>
        <w:widowControl w:val="0"/>
        <w:kinsoku/>
        <w:wordWrap/>
        <w:overflowPunct/>
        <w:topLinePunct w:val="0"/>
        <w:autoSpaceDE/>
        <w:autoSpaceDN/>
        <w:bidi w:val="0"/>
        <w:adjustRightInd/>
        <w:snapToGrid w:val="0"/>
        <w:spacing w:line="360" w:lineRule="auto"/>
        <w:ind w:left="0" w:leftChars="0" w:firstLine="482" w:firstLineChars="200"/>
        <w:textAlignment w:val="auto"/>
        <w:outlineLvl w:val="9"/>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（四）工程结算</w:t>
      </w:r>
    </w:p>
    <w:p w14:paraId="3FC9C0AB">
      <w:pPr>
        <w:pStyle w:val="25"/>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成交价除采购人要求的设计变更外，其余不因市场价格变化、人员工资福利调整、</w:t>
      </w:r>
      <w:r>
        <w:rPr>
          <w:rFonts w:hint="eastAsia" w:asciiTheme="minorEastAsia" w:hAnsiTheme="minorEastAsia" w:eastAsiaTheme="minorEastAsia" w:cstheme="minorEastAsia"/>
          <w:sz w:val="24"/>
          <w:szCs w:val="24"/>
          <w:lang w:eastAsia="zh-CN"/>
        </w:rPr>
        <w:t>遴选文件</w:t>
      </w:r>
      <w:r>
        <w:rPr>
          <w:rFonts w:hint="eastAsia" w:asciiTheme="minorEastAsia" w:hAnsiTheme="minorEastAsia" w:eastAsiaTheme="minorEastAsia" w:cstheme="minorEastAsia"/>
          <w:sz w:val="24"/>
          <w:szCs w:val="24"/>
        </w:rPr>
        <w:t>提供工程量与实际发生不符以及其它政策性文件的下达而调整。</w:t>
      </w:r>
    </w:p>
    <w:p w14:paraId="3222AC59">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响应供应商</w:t>
      </w:r>
      <w:r>
        <w:rPr>
          <w:rFonts w:hint="eastAsia" w:asciiTheme="minorEastAsia" w:hAnsiTheme="minorEastAsia" w:eastAsiaTheme="minorEastAsia" w:cstheme="minorEastAsia"/>
          <w:sz w:val="24"/>
          <w:szCs w:val="24"/>
        </w:rPr>
        <w:t>依据</w:t>
      </w:r>
      <w:r>
        <w:rPr>
          <w:rFonts w:hint="eastAsia" w:asciiTheme="minorEastAsia" w:hAnsiTheme="minorEastAsia" w:eastAsiaTheme="minorEastAsia" w:cstheme="minorEastAsia"/>
          <w:sz w:val="24"/>
          <w:szCs w:val="24"/>
          <w:lang w:eastAsia="zh-CN"/>
        </w:rPr>
        <w:t>遴选文件</w:t>
      </w:r>
      <w:r>
        <w:rPr>
          <w:rFonts w:hint="eastAsia" w:asciiTheme="minorEastAsia" w:hAnsiTheme="minorEastAsia" w:eastAsiaTheme="minorEastAsia" w:cstheme="minorEastAsia"/>
          <w:sz w:val="24"/>
          <w:szCs w:val="24"/>
        </w:rPr>
        <w:t>提供的工程量清单等资料并自行考虑风险因素计算</w:t>
      </w:r>
      <w:r>
        <w:rPr>
          <w:rFonts w:hint="eastAsia" w:asciiTheme="minorEastAsia" w:hAnsiTheme="minorEastAsia" w:eastAsiaTheme="minorEastAsia" w:cstheme="minorEastAsia"/>
          <w:sz w:val="24"/>
          <w:szCs w:val="24"/>
          <w:lang w:eastAsia="zh-CN"/>
        </w:rPr>
        <w:t>响应报价</w:t>
      </w:r>
      <w:r>
        <w:rPr>
          <w:rFonts w:hint="eastAsia" w:asciiTheme="minorEastAsia" w:hAnsiTheme="minorEastAsia" w:eastAsiaTheme="minorEastAsia" w:cstheme="minorEastAsia"/>
          <w:sz w:val="24"/>
          <w:szCs w:val="24"/>
        </w:rPr>
        <w:t>，一旦</w:t>
      </w:r>
      <w:r>
        <w:rPr>
          <w:rFonts w:hint="eastAsia" w:asciiTheme="minorEastAsia" w:hAnsiTheme="minorEastAsia" w:eastAsiaTheme="minorEastAsia" w:cstheme="minorEastAsia"/>
          <w:sz w:val="24"/>
          <w:szCs w:val="24"/>
          <w:lang w:eastAsia="zh-CN"/>
        </w:rPr>
        <w:t>成交</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响应报价</w:t>
      </w:r>
      <w:r>
        <w:rPr>
          <w:rFonts w:hint="eastAsia" w:asciiTheme="minorEastAsia" w:hAnsiTheme="minorEastAsia" w:eastAsiaTheme="minorEastAsia" w:cstheme="minorEastAsia"/>
          <w:sz w:val="24"/>
          <w:szCs w:val="24"/>
        </w:rPr>
        <w:t>将不会因市场变化因素而得到调整。</w:t>
      </w:r>
    </w:p>
    <w:p w14:paraId="255EA9B0">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响应供应商</w:t>
      </w:r>
      <w:r>
        <w:rPr>
          <w:rFonts w:hint="eastAsia" w:asciiTheme="minorEastAsia" w:hAnsiTheme="minorEastAsia" w:eastAsiaTheme="minorEastAsia" w:cstheme="minorEastAsia"/>
          <w:sz w:val="24"/>
          <w:szCs w:val="24"/>
        </w:rPr>
        <w:t>应按照</w:t>
      </w:r>
      <w:r>
        <w:rPr>
          <w:rFonts w:hint="eastAsia" w:asciiTheme="minorEastAsia" w:hAnsiTheme="minorEastAsia" w:eastAsiaTheme="minorEastAsia" w:cstheme="minorEastAsia"/>
          <w:sz w:val="24"/>
          <w:szCs w:val="24"/>
          <w:lang w:eastAsia="zh-CN"/>
        </w:rPr>
        <w:t>遴选文件</w:t>
      </w:r>
      <w:r>
        <w:rPr>
          <w:rFonts w:hint="eastAsia" w:asciiTheme="minorEastAsia" w:hAnsiTheme="minorEastAsia" w:eastAsiaTheme="minorEastAsia" w:cstheme="minorEastAsia"/>
          <w:sz w:val="24"/>
          <w:szCs w:val="24"/>
        </w:rPr>
        <w:t>提供的工程量清单逐项填写单价及合价，</w:t>
      </w:r>
      <w:r>
        <w:rPr>
          <w:rFonts w:hint="eastAsia" w:asciiTheme="minorEastAsia" w:hAnsiTheme="minorEastAsia" w:eastAsiaTheme="minorEastAsia" w:cstheme="minorEastAsia"/>
          <w:sz w:val="24"/>
          <w:szCs w:val="24"/>
          <w:lang w:eastAsia="zh-CN"/>
        </w:rPr>
        <w:t>响应供应商</w:t>
      </w:r>
      <w:r>
        <w:rPr>
          <w:rFonts w:hint="eastAsia" w:asciiTheme="minorEastAsia" w:hAnsiTheme="minorEastAsia" w:eastAsiaTheme="minorEastAsia" w:cstheme="minorEastAsia"/>
          <w:sz w:val="24"/>
          <w:szCs w:val="24"/>
        </w:rPr>
        <w:t>没有填写单价及合价的项目，</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将视为此项费用已包括在工程量清单项目的其它单价及合价中而不予支付。</w:t>
      </w:r>
    </w:p>
    <w:p w14:paraId="391139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本工程项目的最终结算金额以财政结算定案的实际金额为准，且财政结算定案不得超过合同金额。成交供应商应充分认识到财政结算定案的严肃性和权威性，在此过程中,成交供应商不得提出任何超出财政结算定案实际金额的要求，包括但不限于额外费用、不合理的价款调整等。成交供应商应自行承担因财政结算定案结果可能带来的风险，包括但不限于结算金额低于合同金额等情况。</w:t>
      </w:r>
    </w:p>
    <w:p w14:paraId="7B08C6F1">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outlineLvl w:val="9"/>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(五）合同价款的调整</w:t>
      </w:r>
    </w:p>
    <w:p w14:paraId="576D913E">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1.本项目属固定总价包干。工程项目实施期间和结算时，施工图纸和工程量清单中的内容（工程变更和现场签证除外）不予增加，即使工程量清单有漏列，只要施工图纸已有相关内容，均不调整价款。</w:t>
      </w:r>
    </w:p>
    <w:p w14:paraId="11D0479F">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2.风险范围以外合同价款调整范围：</w:t>
      </w:r>
    </w:p>
    <w:p w14:paraId="727C1F93">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设计变更和现场签证由成交供应商提出经采购人报请相关部门批准后进行调整。设计变更和现场签证（暂估价项除外）增减经费经采购人和成交供应商双方确认后实施；任何变更洽商须有监理单位（如需）、采购人签字才能生效，成交供应商因没有遵守此条款，引起的任何返工，其损失或工期延误都应由成交供应商负责。</w:t>
      </w:r>
    </w:p>
    <w:p w14:paraId="2A8C152A">
      <w:pPr>
        <w:spacing w:line="360" w:lineRule="auto"/>
        <w:outlineLvl w:val="1"/>
        <w:rPr>
          <w:rFonts w:hint="default" w:ascii="宋体" w:hAnsi="宋体" w:cs="Tahoma"/>
          <w:b/>
          <w:sz w:val="24"/>
          <w:lang w:val="en-US" w:eastAsia="zh-CN"/>
        </w:rPr>
      </w:pPr>
      <w:bookmarkStart w:id="80" w:name="_Toc12805"/>
      <w:bookmarkStart w:id="81" w:name="_Toc5155"/>
      <w:bookmarkStart w:id="82" w:name="_Toc11623"/>
      <w:r>
        <w:rPr>
          <w:rFonts w:hint="eastAsia" w:ascii="宋体" w:hAnsi="宋体" w:cs="Tahoma"/>
          <w:b/>
          <w:sz w:val="24"/>
          <w:lang w:val="en-US" w:eastAsia="zh-CN"/>
        </w:rPr>
        <w:t>五、验收要求</w:t>
      </w:r>
      <w:bookmarkEnd w:id="80"/>
      <w:bookmarkEnd w:id="81"/>
      <w:bookmarkEnd w:id="82"/>
    </w:p>
    <w:p w14:paraId="22F99D8A">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一）施工过程中接受采购人或其委托的监理单位的监督和管理。如果施工过程中发现工程质量不符合国家有关标准规范和遴选文件的有关规定，采购人或其委托的监理单位要求停工和返工时，成交供应商无条件必须立即执行。如导致项目延期的，需承担由此产生的全部费用（含包括不限于项目施工的相关费用、监理等费用）。</w:t>
      </w:r>
    </w:p>
    <w:p w14:paraId="524F2070">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二）项目完工后，成交供应商向采购人提出申请，采购人自收到成交供应商提出的验收申请后7日内组织验收工作。因成交供应商原因造成工程质量未达到合同约定验收标准的，采购人有权要求成交供应商返工直至工程质量达到合同约定的验收标准为止，并由成交供应商承担由此增加的费用和责任。 </w:t>
      </w:r>
    </w:p>
    <w:p w14:paraId="7DD7F1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Theme="minorEastAsia" w:hAnsiTheme="minorEastAsia" w:eastAsiaTheme="minorEastAsia" w:cstheme="minorEastAsia"/>
          <w:sz w:val="24"/>
          <w:szCs w:val="24"/>
          <w:lang w:val="en-US" w:eastAsia="zh-CN"/>
        </w:rPr>
        <w:t xml:space="preserve">（三）验收标准：1.符合国家规定验收规范、标准（或地方政府主管机关的具体规范、标准）；2.符合遴选文件的项目技术指标及各项要求和本项目合同约定；3.项目设计文件及安装、设计图纸（如有）；4.双方共同协商的标准。 </w:t>
      </w:r>
    </w:p>
    <w:p w14:paraId="08B89728">
      <w:pPr>
        <w:spacing w:line="360" w:lineRule="auto"/>
        <w:outlineLvl w:val="1"/>
        <w:rPr>
          <w:rFonts w:hint="default" w:ascii="宋体" w:hAnsi="宋体" w:eastAsia="宋体" w:cs="Tahoma"/>
          <w:b/>
          <w:sz w:val="24"/>
          <w:lang w:val="en-US" w:eastAsia="zh-CN"/>
        </w:rPr>
      </w:pPr>
      <w:bookmarkStart w:id="83" w:name="_Toc22962"/>
      <w:bookmarkStart w:id="84" w:name="_Toc27338"/>
      <w:bookmarkStart w:id="85" w:name="_Toc12473"/>
      <w:bookmarkStart w:id="86" w:name="_Toc5413"/>
      <w:r>
        <w:rPr>
          <w:rFonts w:hint="eastAsia" w:ascii="宋体" w:hAnsi="宋体" w:cs="Tahoma"/>
          <w:b/>
          <w:sz w:val="24"/>
          <w:lang w:val="en-US" w:eastAsia="zh-CN"/>
        </w:rPr>
        <w:t>六</w:t>
      </w:r>
      <w:r>
        <w:rPr>
          <w:rFonts w:hint="eastAsia" w:ascii="宋体" w:hAnsi="宋体" w:eastAsia="宋体" w:cs="Tahoma"/>
          <w:b/>
          <w:sz w:val="24"/>
          <w:lang w:eastAsia="zh-CN"/>
        </w:rPr>
        <w:t>、</w:t>
      </w:r>
      <w:bookmarkEnd w:id="83"/>
      <w:r>
        <w:rPr>
          <w:rFonts w:hint="eastAsia" w:ascii="宋体" w:hAnsi="宋体" w:cs="Tahoma"/>
          <w:b/>
          <w:sz w:val="24"/>
          <w:lang w:val="en-US" w:eastAsia="zh-CN"/>
        </w:rPr>
        <w:t>付款方式</w:t>
      </w:r>
      <w:bookmarkEnd w:id="84"/>
      <w:bookmarkEnd w:id="85"/>
      <w:bookmarkEnd w:id="86"/>
    </w:p>
    <w:p w14:paraId="13021BA5">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（一）合同签订后，成交供应商负责办理相关付款资料、提供全额含税发票，经审批后，采购人在10个日历天内支付合同金额的30%作为预付款；</w:t>
      </w:r>
    </w:p>
    <w:p w14:paraId="03C30BA4">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（二）工程竣工验收且财政结算定案后 30 个日历天内，采购人支付至工程结算造价（</w:t>
      </w:r>
      <w:r>
        <w:rPr>
          <w:rFonts w:hint="eastAsia" w:asciiTheme="minorEastAsia" w:hAnsiTheme="minorEastAsia" w:eastAsiaTheme="minorEastAsia" w:cstheme="minorEastAsia"/>
          <w:color w:val="auto"/>
          <w:sz w:val="24"/>
          <w:szCs w:val="24"/>
          <w:lang w:val="en-US" w:eastAsia="zh-CN"/>
        </w:rPr>
        <w:t>结算造价不得超过合同金额</w:t>
      </w:r>
      <w:r>
        <w:rPr>
          <w:rFonts w:hint="eastAsia" w:asciiTheme="minorEastAsia" w:hAnsiTheme="minorEastAsia" w:eastAsiaTheme="minorEastAsia" w:cstheme="minorEastAsia"/>
          <w:b w:val="0"/>
          <w:bCs w:val="0"/>
          <w:color w:val="auto"/>
          <w:sz w:val="24"/>
          <w:szCs w:val="24"/>
          <w:lang w:val="en-US" w:eastAsia="zh-CN"/>
        </w:rPr>
        <w:t>）的 97%；</w:t>
      </w:r>
    </w:p>
    <w:p w14:paraId="7D2B0814">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（三）结算造价的 3%的工程质量保证金，于工程竣工验收合格之日起两年后</w:t>
      </w:r>
      <w:r>
        <w:rPr>
          <w:rFonts w:hint="eastAsia" w:asciiTheme="minorEastAsia" w:hAnsiTheme="minorEastAsia" w:eastAsiaTheme="minorEastAsia" w:cstheme="minorEastAsia"/>
          <w:b w:val="0"/>
          <w:bCs w:val="0"/>
          <w:sz w:val="24"/>
          <w:szCs w:val="24"/>
          <w:lang w:val="en-US" w:eastAsia="zh-CN"/>
        </w:rPr>
        <w:t>若无重大质量问题</w:t>
      </w:r>
      <w:r>
        <w:rPr>
          <w:rFonts w:hint="eastAsia" w:asciiTheme="minorEastAsia" w:hAnsiTheme="minorEastAsia" w:eastAsiaTheme="minorEastAsia" w:cstheme="minorEastAsia"/>
          <w:b w:val="0"/>
          <w:bCs w:val="0"/>
          <w:color w:val="auto"/>
          <w:sz w:val="24"/>
          <w:szCs w:val="24"/>
          <w:lang w:val="en-US" w:eastAsia="zh-CN"/>
        </w:rPr>
        <w:t>10个日历天内全部退还；</w:t>
      </w:r>
    </w:p>
    <w:p w14:paraId="1D233010">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default" w:asciiTheme="minorEastAsia" w:hAnsiTheme="minorEastAsia" w:eastAsiaTheme="minorEastAsia" w:cstheme="minorEastAsia"/>
          <w:color w:val="0070C0"/>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四）因采购人使用的是财政资金，采购人在前款规定的付款时间为向支付部门提出办理财政支付申请手续的时间（不含财政支付部门审核的时间），在规定时间内提出支付申请手续后即视为采购人已经按期支付。</w:t>
      </w:r>
    </w:p>
    <w:p w14:paraId="13802004">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inorEastAsia" w:hAnsiTheme="minorEastAsia" w:eastAsiaTheme="minorEastAsia" w:cstheme="minorEastAsia"/>
          <w:sz w:val="24"/>
          <w:szCs w:val="24"/>
        </w:rPr>
      </w:pPr>
    </w:p>
    <w:p w14:paraId="558DED87">
      <w:pPr>
        <w:bidi w:val="0"/>
        <w:rPr>
          <w:rFonts w:hint="eastAsia"/>
        </w:rPr>
      </w:pPr>
    </w:p>
    <w:p w14:paraId="560507FA">
      <w:pPr>
        <w:bidi w:val="0"/>
        <w:rPr>
          <w:rFonts w:hint="eastAsia"/>
        </w:rPr>
      </w:pPr>
    </w:p>
    <w:p w14:paraId="4394E21A">
      <w:pPr>
        <w:bidi w:val="0"/>
      </w:pPr>
    </w:p>
    <w:p w14:paraId="7D3BF8A9">
      <w:pPr>
        <w:spacing w:line="360" w:lineRule="auto"/>
        <w:ind w:firstLine="426"/>
        <w:rPr>
          <w:rFonts w:ascii="宋体" w:hAnsi="宋体"/>
          <w:color w:val="000000"/>
          <w:sz w:val="24"/>
          <w:szCs w:val="28"/>
          <w:shd w:val="clear" w:color="auto" w:fill="FFFFFF"/>
        </w:rPr>
      </w:pPr>
    </w:p>
    <w:p w14:paraId="7631E55E">
      <w:pPr>
        <w:spacing w:line="360" w:lineRule="auto"/>
        <w:ind w:firstLine="426"/>
        <w:rPr>
          <w:sz w:val="24"/>
          <w:szCs w:val="28"/>
        </w:rPr>
      </w:pPr>
    </w:p>
    <w:p w14:paraId="4584A867">
      <w:pPr>
        <w:widowControl/>
        <w:jc w:val="left"/>
        <w:rPr>
          <w:rFonts w:ascii="微软雅黑" w:hAnsi="微软雅黑" w:eastAsia="微软雅黑"/>
          <w:b/>
          <w:sz w:val="28"/>
        </w:rPr>
      </w:pPr>
      <w:bookmarkStart w:id="87" w:name="_Toc297209399"/>
      <w:r>
        <w:rPr>
          <w:rFonts w:ascii="微软雅黑" w:hAnsi="微软雅黑" w:eastAsia="微软雅黑"/>
          <w:b/>
          <w:sz w:val="28"/>
        </w:rPr>
        <w:br w:type="page"/>
      </w:r>
    </w:p>
    <w:bookmarkEnd w:id="87"/>
    <w:p w14:paraId="28BA0A7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微软雅黑" w:hAnsi="微软雅黑" w:eastAsia="微软雅黑"/>
          <w:b/>
          <w:sz w:val="28"/>
        </w:rPr>
      </w:pPr>
      <w:bookmarkStart w:id="88" w:name="_Toc515971203"/>
      <w:bookmarkStart w:id="89" w:name="_Toc496045542"/>
      <w:bookmarkStart w:id="90" w:name="_Toc515957286"/>
      <w:bookmarkStart w:id="91" w:name="_Toc24471634"/>
      <w:bookmarkStart w:id="92" w:name="_Toc515956934"/>
      <w:bookmarkStart w:id="93" w:name="_Toc15769"/>
      <w:bookmarkStart w:id="94" w:name="_Toc77781869"/>
      <w:bookmarkStart w:id="95" w:name="_Toc514163571"/>
      <w:bookmarkStart w:id="96" w:name="_Toc82445261"/>
      <w:bookmarkStart w:id="97" w:name="_Toc499278268"/>
      <w:bookmarkStart w:id="98" w:name="_Toc78274969"/>
      <w:bookmarkStart w:id="99" w:name="_Toc21549"/>
      <w:bookmarkStart w:id="100" w:name="_Toc504741267"/>
      <w:bookmarkStart w:id="101" w:name="_Toc75028780"/>
      <w:bookmarkStart w:id="102" w:name="_Toc71878601"/>
      <w:bookmarkStart w:id="103" w:name="_Toc69828228"/>
      <w:bookmarkStart w:id="104" w:name="_Toc513652319"/>
      <w:bookmarkStart w:id="105" w:name="_Toc91288823"/>
      <w:bookmarkStart w:id="106" w:name="_Toc498079534"/>
      <w:bookmarkStart w:id="107" w:name="_Toc90148917"/>
      <w:bookmarkStart w:id="108" w:name="_Toc504122271"/>
      <w:bookmarkStart w:id="109" w:name="_Toc82692194"/>
      <w:bookmarkStart w:id="110" w:name="_Toc80869742"/>
      <w:bookmarkStart w:id="111" w:name="_Toc51249796"/>
      <w:bookmarkStart w:id="112" w:name="_Toc78444613"/>
      <w:bookmarkStart w:id="113" w:name="_Toc498978644"/>
      <w:bookmarkStart w:id="114" w:name="_Toc498265689"/>
      <w:bookmarkStart w:id="115" w:name="_Toc66020769"/>
      <w:bookmarkStart w:id="116" w:name="_Toc51681508"/>
      <w:bookmarkStart w:id="117" w:name="_Toc496123830"/>
      <w:bookmarkStart w:id="118" w:name="_Toc496096036"/>
      <w:bookmarkStart w:id="119" w:name="_Toc503169256"/>
      <w:bookmarkStart w:id="120" w:name="_Toc29355"/>
      <w:bookmarkStart w:id="121" w:name="_Toc11922005"/>
      <w:bookmarkStart w:id="122" w:name="_Toc504062535"/>
    </w:p>
    <w:p w14:paraId="707D38DB">
      <w:pPr>
        <w:spacing w:line="360" w:lineRule="auto"/>
        <w:jc w:val="center"/>
        <w:outlineLvl w:val="0"/>
        <w:rPr>
          <w:rFonts w:ascii="微软雅黑" w:hAnsi="微软雅黑" w:eastAsia="微软雅黑"/>
          <w:b/>
          <w:sz w:val="28"/>
        </w:rPr>
      </w:pPr>
      <w:bookmarkStart w:id="123" w:name="_Toc21051"/>
      <w:bookmarkStart w:id="124" w:name="_Toc23074"/>
      <w:r>
        <w:rPr>
          <w:rFonts w:hint="eastAsia" w:ascii="微软雅黑" w:hAnsi="微软雅黑" w:eastAsia="微软雅黑"/>
          <w:b/>
          <w:sz w:val="28"/>
        </w:rPr>
        <w:t>第三章 合同（样本）</w:t>
      </w:r>
      <w:bookmarkEnd w:id="123"/>
      <w:bookmarkEnd w:id="124"/>
    </w:p>
    <w:p w14:paraId="38CD2124">
      <w:pPr>
        <w:pStyle w:val="22"/>
        <w:spacing w:line="360" w:lineRule="auto"/>
        <w:ind w:firstLine="482" w:firstLineChars="200"/>
        <w:rPr>
          <w:rFonts w:ascii="宋体" w:eastAsia="宋体"/>
          <w:b/>
          <w:sz w:val="24"/>
          <w:szCs w:val="24"/>
        </w:rPr>
      </w:pPr>
      <w:r>
        <w:rPr>
          <w:rFonts w:hint="eastAsia" w:ascii="宋体" w:eastAsia="宋体"/>
          <w:b/>
          <w:sz w:val="24"/>
          <w:szCs w:val="24"/>
        </w:rPr>
        <w:t>注：本项目合同以广东政府采购智慧云平台电子卖场的采购合同为准，甲乙双方在平台系统进行项目执行和合同签订。</w:t>
      </w:r>
    </w:p>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14:paraId="38E8E985">
      <w:pPr>
        <w:spacing w:line="360" w:lineRule="auto"/>
        <w:rPr>
          <w:rFonts w:ascii="宋体" w:hAnsi="宋体"/>
          <w:sz w:val="24"/>
        </w:rPr>
      </w:pPr>
      <w:r>
        <w:rPr>
          <w:rFonts w:hint="eastAsia" w:ascii="宋体" w:hAnsi="宋体"/>
          <w:sz w:val="24"/>
        </w:rPr>
        <w:t xml:space="preserve"> </w:t>
      </w:r>
    </w:p>
    <w:p w14:paraId="2693C509">
      <w:pPr>
        <w:spacing w:line="360" w:lineRule="auto"/>
      </w:pPr>
    </w:p>
    <w:p w14:paraId="357B8B44"/>
    <w:p w14:paraId="590E8E9F">
      <w:pPr>
        <w:spacing w:line="360" w:lineRule="auto"/>
      </w:pPr>
    </w:p>
    <w:p w14:paraId="0F733D40"/>
    <w:p w14:paraId="5185C8AB">
      <w:pPr>
        <w:spacing w:line="360" w:lineRule="auto"/>
        <w:jc w:val="center"/>
        <w:outlineLvl w:val="0"/>
      </w:pPr>
      <w:r>
        <w:rPr>
          <w:rFonts w:ascii="宋体" w:hAnsi="宋体"/>
          <w:b/>
        </w:rPr>
        <w:br w:type="page"/>
      </w:r>
      <w:bookmarkEnd w:id="20"/>
      <w:bookmarkEnd w:id="21"/>
      <w:bookmarkStart w:id="125" w:name="_Toc16153"/>
      <w:bookmarkStart w:id="126" w:name="_Toc21541"/>
      <w:r>
        <w:rPr>
          <w:rFonts w:hint="eastAsia" w:ascii="微软雅黑" w:hAnsi="微软雅黑" w:eastAsia="微软雅黑"/>
          <w:b/>
          <w:sz w:val="28"/>
        </w:rPr>
        <w:t>第四章 响应须知</w:t>
      </w:r>
      <w:bookmarkEnd w:id="125"/>
      <w:bookmarkEnd w:id="126"/>
    </w:p>
    <w:p w14:paraId="5A684BE7">
      <w:pPr>
        <w:jc w:val="center"/>
        <w:rPr>
          <w:b/>
          <w:sz w:val="24"/>
          <w:szCs w:val="28"/>
        </w:rPr>
      </w:pPr>
      <w:r>
        <w:rPr>
          <w:rFonts w:hint="eastAsia"/>
          <w:b/>
          <w:sz w:val="24"/>
          <w:szCs w:val="28"/>
        </w:rPr>
        <w:t>响应</w:t>
      </w:r>
      <w:r>
        <w:rPr>
          <w:b/>
          <w:sz w:val="24"/>
          <w:szCs w:val="28"/>
        </w:rPr>
        <w:t>须知前表</w:t>
      </w:r>
    </w:p>
    <w:tbl>
      <w:tblPr>
        <w:tblStyle w:val="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274"/>
        <w:gridCol w:w="8015"/>
      </w:tblGrid>
      <w:tr w14:paraId="456D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 w:type="pct"/>
            <w:tcBorders>
              <w:top w:val="single" w:color="auto" w:sz="4" w:space="0"/>
              <w:left w:val="single" w:color="auto" w:sz="4" w:space="0"/>
              <w:bottom w:val="single" w:color="auto" w:sz="4" w:space="0"/>
              <w:right w:val="single" w:color="auto" w:sz="4" w:space="0"/>
            </w:tcBorders>
            <w:vAlign w:val="center"/>
          </w:tcPr>
          <w:p w14:paraId="7108A629">
            <w:pPr>
              <w:pStyle w:val="25"/>
              <w:adjustRightInd w:val="0"/>
              <w:snapToGrid w:val="0"/>
              <w:spacing w:line="360" w:lineRule="auto"/>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序号</w:t>
            </w:r>
          </w:p>
        </w:tc>
        <w:tc>
          <w:tcPr>
            <w:tcW w:w="639" w:type="pct"/>
            <w:tcBorders>
              <w:top w:val="single" w:color="auto" w:sz="4" w:space="0"/>
              <w:left w:val="single" w:color="auto" w:sz="4" w:space="0"/>
              <w:bottom w:val="single" w:color="auto" w:sz="4" w:space="0"/>
              <w:right w:val="single" w:color="auto" w:sz="4" w:space="0"/>
            </w:tcBorders>
            <w:vAlign w:val="center"/>
          </w:tcPr>
          <w:p w14:paraId="301FBC8C">
            <w:pPr>
              <w:pStyle w:val="25"/>
              <w:adjustRightInd w:val="0"/>
              <w:snapToGrid w:val="0"/>
              <w:spacing w:line="360" w:lineRule="auto"/>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项目</w:t>
            </w:r>
          </w:p>
        </w:tc>
        <w:tc>
          <w:tcPr>
            <w:tcW w:w="4021" w:type="pct"/>
            <w:tcBorders>
              <w:top w:val="single" w:color="auto" w:sz="4" w:space="0"/>
              <w:left w:val="single" w:color="auto" w:sz="4" w:space="0"/>
              <w:bottom w:val="single" w:color="auto" w:sz="4" w:space="0"/>
              <w:right w:val="single" w:color="auto" w:sz="4" w:space="0"/>
            </w:tcBorders>
            <w:vAlign w:val="center"/>
          </w:tcPr>
          <w:p w14:paraId="2C731C68">
            <w:pPr>
              <w:pStyle w:val="25"/>
              <w:adjustRightInd w:val="0"/>
              <w:snapToGrid w:val="0"/>
              <w:spacing w:line="360" w:lineRule="auto"/>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内容</w:t>
            </w:r>
          </w:p>
        </w:tc>
      </w:tr>
      <w:tr w14:paraId="20CA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 w:type="pct"/>
            <w:tcBorders>
              <w:top w:val="single" w:color="auto" w:sz="4" w:space="0"/>
              <w:left w:val="single" w:color="auto" w:sz="4" w:space="0"/>
              <w:bottom w:val="single" w:color="auto" w:sz="4" w:space="0"/>
              <w:right w:val="single" w:color="auto" w:sz="4" w:space="0"/>
            </w:tcBorders>
            <w:vAlign w:val="center"/>
          </w:tcPr>
          <w:p w14:paraId="6B2B195F">
            <w:pPr>
              <w:pStyle w:val="25"/>
              <w:numPr>
                <w:ilvl w:val="0"/>
                <w:numId w:val="3"/>
              </w:numPr>
              <w:adjustRightInd w:val="0"/>
              <w:snapToGrid w:val="0"/>
              <w:spacing w:line="360" w:lineRule="auto"/>
              <w:jc w:val="center"/>
              <w:rPr>
                <w:rFonts w:cs="宋体" w:asciiTheme="minorEastAsia" w:hAnsiTheme="minorEastAsia" w:eastAsiaTheme="minorEastAsia"/>
                <w:szCs w:val="21"/>
              </w:rPr>
            </w:pPr>
          </w:p>
        </w:tc>
        <w:tc>
          <w:tcPr>
            <w:tcW w:w="639" w:type="pct"/>
            <w:tcBorders>
              <w:top w:val="single" w:color="auto" w:sz="4" w:space="0"/>
              <w:left w:val="single" w:color="auto" w:sz="4" w:space="0"/>
              <w:bottom w:val="single" w:color="auto" w:sz="4" w:space="0"/>
              <w:right w:val="single" w:color="auto" w:sz="4" w:space="0"/>
            </w:tcBorders>
            <w:vAlign w:val="center"/>
          </w:tcPr>
          <w:p w14:paraId="0D1EE98A">
            <w:pPr>
              <w:pStyle w:val="25"/>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采购人名称</w:t>
            </w:r>
          </w:p>
        </w:tc>
        <w:tc>
          <w:tcPr>
            <w:tcW w:w="4021" w:type="pct"/>
            <w:tcBorders>
              <w:top w:val="single" w:color="auto" w:sz="4" w:space="0"/>
              <w:left w:val="single" w:color="auto" w:sz="4" w:space="0"/>
              <w:bottom w:val="single" w:color="auto" w:sz="4" w:space="0"/>
              <w:right w:val="single" w:color="auto" w:sz="4" w:space="0"/>
            </w:tcBorders>
            <w:vAlign w:val="center"/>
          </w:tcPr>
          <w:p w14:paraId="5396D935">
            <w:pPr>
              <w:pStyle w:val="25"/>
              <w:adjustRightInd w:val="0"/>
              <w:snapToGrid w:val="0"/>
              <w:spacing w:line="360" w:lineRule="auto"/>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广东省粤东技师学院</w:t>
            </w:r>
          </w:p>
        </w:tc>
      </w:tr>
      <w:tr w14:paraId="3211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 w:type="pct"/>
            <w:tcBorders>
              <w:top w:val="single" w:color="auto" w:sz="4" w:space="0"/>
              <w:left w:val="single" w:color="auto" w:sz="4" w:space="0"/>
              <w:bottom w:val="single" w:color="auto" w:sz="4" w:space="0"/>
              <w:right w:val="single" w:color="auto" w:sz="4" w:space="0"/>
            </w:tcBorders>
            <w:vAlign w:val="center"/>
          </w:tcPr>
          <w:p w14:paraId="600F5C0A">
            <w:pPr>
              <w:pStyle w:val="25"/>
              <w:numPr>
                <w:ilvl w:val="0"/>
                <w:numId w:val="3"/>
              </w:numPr>
              <w:adjustRightInd w:val="0"/>
              <w:snapToGrid w:val="0"/>
              <w:spacing w:line="360" w:lineRule="auto"/>
              <w:jc w:val="center"/>
              <w:rPr>
                <w:rFonts w:cs="宋体" w:asciiTheme="minorEastAsia" w:hAnsiTheme="minorEastAsia" w:eastAsiaTheme="minorEastAsia"/>
                <w:bCs/>
                <w:szCs w:val="21"/>
              </w:rPr>
            </w:pPr>
          </w:p>
        </w:tc>
        <w:tc>
          <w:tcPr>
            <w:tcW w:w="639" w:type="pct"/>
            <w:tcBorders>
              <w:top w:val="single" w:color="auto" w:sz="4" w:space="0"/>
              <w:left w:val="single" w:color="auto" w:sz="4" w:space="0"/>
              <w:bottom w:val="single" w:color="auto" w:sz="4" w:space="0"/>
              <w:right w:val="single" w:color="auto" w:sz="4" w:space="0"/>
            </w:tcBorders>
            <w:vAlign w:val="center"/>
          </w:tcPr>
          <w:p w14:paraId="5574E11C">
            <w:pPr>
              <w:pStyle w:val="25"/>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bCs/>
                <w:szCs w:val="21"/>
              </w:rPr>
              <w:t>资金来源</w:t>
            </w:r>
          </w:p>
        </w:tc>
        <w:tc>
          <w:tcPr>
            <w:tcW w:w="4021" w:type="pct"/>
            <w:tcBorders>
              <w:top w:val="single" w:color="auto" w:sz="4" w:space="0"/>
              <w:left w:val="single" w:color="auto" w:sz="4" w:space="0"/>
              <w:bottom w:val="single" w:color="auto" w:sz="4" w:space="0"/>
              <w:right w:val="single" w:color="auto" w:sz="4" w:space="0"/>
            </w:tcBorders>
            <w:vAlign w:val="center"/>
          </w:tcPr>
          <w:p w14:paraId="3C2E0C33">
            <w:pPr>
              <w:pStyle w:val="25"/>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本项目资金性质为财政性资金，但本采购活动属于采购人单位内部控制程序，本次遴选不纳入政府采购管理范围。</w:t>
            </w:r>
          </w:p>
        </w:tc>
      </w:tr>
      <w:tr w14:paraId="6954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 w:type="pct"/>
            <w:tcBorders>
              <w:top w:val="single" w:color="auto" w:sz="4" w:space="0"/>
              <w:left w:val="single" w:color="auto" w:sz="4" w:space="0"/>
              <w:bottom w:val="single" w:color="auto" w:sz="4" w:space="0"/>
              <w:right w:val="single" w:color="auto" w:sz="4" w:space="0"/>
            </w:tcBorders>
            <w:vAlign w:val="center"/>
          </w:tcPr>
          <w:p w14:paraId="3DCBFB57">
            <w:pPr>
              <w:pStyle w:val="25"/>
              <w:numPr>
                <w:ilvl w:val="0"/>
                <w:numId w:val="3"/>
              </w:numPr>
              <w:adjustRightInd w:val="0"/>
              <w:snapToGrid w:val="0"/>
              <w:spacing w:line="360" w:lineRule="auto"/>
              <w:jc w:val="center"/>
              <w:rPr>
                <w:rFonts w:cs="宋体" w:asciiTheme="minorEastAsia" w:hAnsiTheme="minorEastAsia" w:eastAsiaTheme="minorEastAsia"/>
                <w:bCs/>
                <w:szCs w:val="21"/>
              </w:rPr>
            </w:pPr>
          </w:p>
        </w:tc>
        <w:tc>
          <w:tcPr>
            <w:tcW w:w="639" w:type="pct"/>
            <w:tcBorders>
              <w:top w:val="single" w:color="auto" w:sz="4" w:space="0"/>
              <w:left w:val="single" w:color="auto" w:sz="4" w:space="0"/>
              <w:bottom w:val="single" w:color="auto" w:sz="4" w:space="0"/>
              <w:right w:val="single" w:color="auto" w:sz="4" w:space="0"/>
            </w:tcBorders>
            <w:vAlign w:val="center"/>
          </w:tcPr>
          <w:p w14:paraId="2A41F69A">
            <w:pPr>
              <w:pStyle w:val="25"/>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bCs/>
                <w:szCs w:val="21"/>
              </w:rPr>
              <w:t>答疑及踏勘现场等</w:t>
            </w:r>
          </w:p>
        </w:tc>
        <w:tc>
          <w:tcPr>
            <w:tcW w:w="4021" w:type="pct"/>
            <w:tcBorders>
              <w:top w:val="single" w:color="auto" w:sz="4" w:space="0"/>
              <w:left w:val="single" w:color="auto" w:sz="4" w:space="0"/>
              <w:bottom w:val="single" w:color="auto" w:sz="4" w:space="0"/>
              <w:right w:val="single" w:color="auto" w:sz="4" w:space="0"/>
            </w:tcBorders>
            <w:vAlign w:val="center"/>
          </w:tcPr>
          <w:p w14:paraId="7A21F1DC">
            <w:pPr>
              <w:pStyle w:val="25"/>
              <w:tabs>
                <w:tab w:val="left" w:pos="1084"/>
              </w:tabs>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无</w:t>
            </w:r>
          </w:p>
        </w:tc>
      </w:tr>
      <w:tr w14:paraId="6BF4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 w:type="pct"/>
            <w:tcBorders>
              <w:top w:val="single" w:color="auto" w:sz="4" w:space="0"/>
              <w:left w:val="single" w:color="auto" w:sz="4" w:space="0"/>
              <w:bottom w:val="single" w:color="auto" w:sz="4" w:space="0"/>
              <w:right w:val="single" w:color="auto" w:sz="4" w:space="0"/>
            </w:tcBorders>
            <w:vAlign w:val="center"/>
          </w:tcPr>
          <w:p w14:paraId="56BDA1DA">
            <w:pPr>
              <w:pStyle w:val="25"/>
              <w:numPr>
                <w:ilvl w:val="0"/>
                <w:numId w:val="3"/>
              </w:numPr>
              <w:adjustRightInd w:val="0"/>
              <w:snapToGrid w:val="0"/>
              <w:spacing w:line="360" w:lineRule="auto"/>
              <w:jc w:val="center"/>
              <w:rPr>
                <w:rFonts w:cs="宋体" w:asciiTheme="minorEastAsia" w:hAnsiTheme="minorEastAsia" w:eastAsiaTheme="minorEastAsia"/>
                <w:szCs w:val="21"/>
              </w:rPr>
            </w:pPr>
          </w:p>
        </w:tc>
        <w:tc>
          <w:tcPr>
            <w:tcW w:w="639" w:type="pct"/>
            <w:tcBorders>
              <w:top w:val="single" w:color="auto" w:sz="4" w:space="0"/>
              <w:left w:val="single" w:color="auto" w:sz="4" w:space="0"/>
              <w:bottom w:val="single" w:color="auto" w:sz="4" w:space="0"/>
              <w:right w:val="single" w:color="auto" w:sz="4" w:space="0"/>
            </w:tcBorders>
            <w:vAlign w:val="center"/>
          </w:tcPr>
          <w:p w14:paraId="0EA7DF9F">
            <w:pPr>
              <w:pStyle w:val="25"/>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响应</w:t>
            </w:r>
            <w:r>
              <w:rPr>
                <w:rFonts w:hint="eastAsia" w:cs="宋体" w:asciiTheme="minorEastAsia" w:hAnsiTheme="minorEastAsia" w:eastAsiaTheme="minorEastAsia"/>
                <w:szCs w:val="21"/>
              </w:rPr>
              <w:t>有效期</w:t>
            </w:r>
          </w:p>
        </w:tc>
        <w:tc>
          <w:tcPr>
            <w:tcW w:w="4021" w:type="pct"/>
            <w:tcBorders>
              <w:top w:val="single" w:color="auto" w:sz="4" w:space="0"/>
              <w:left w:val="single" w:color="auto" w:sz="4" w:space="0"/>
              <w:bottom w:val="single" w:color="auto" w:sz="4" w:space="0"/>
              <w:right w:val="single" w:color="auto" w:sz="4" w:space="0"/>
            </w:tcBorders>
            <w:vAlign w:val="center"/>
          </w:tcPr>
          <w:p w14:paraId="006B22E6">
            <w:pPr>
              <w:pStyle w:val="17"/>
              <w:spacing w:line="360" w:lineRule="auto"/>
              <w:jc w:val="both"/>
              <w:rPr>
                <w:rFonts w:cs="宋体" w:asciiTheme="minorEastAsia" w:hAnsiTheme="minorEastAsia" w:eastAsiaTheme="minorEastAsia"/>
                <w:szCs w:val="21"/>
              </w:rPr>
            </w:pPr>
            <w:r>
              <w:rPr>
                <w:rFonts w:hint="eastAsia" w:cs="宋体" w:asciiTheme="minorEastAsia" w:hAnsiTheme="minorEastAsia" w:eastAsiaTheme="minorEastAsia"/>
                <w:szCs w:val="21"/>
              </w:rPr>
              <w:t>自</w:t>
            </w:r>
            <w:r>
              <w:rPr>
                <w:rFonts w:hint="eastAsia" w:cs="宋体" w:asciiTheme="minorEastAsia" w:hAnsiTheme="minorEastAsia" w:eastAsiaTheme="minorEastAsia"/>
                <w:szCs w:val="21"/>
                <w:shd w:val="clear" w:color="auto" w:fill="FFFFFF"/>
              </w:rPr>
              <w:t>提交首次</w:t>
            </w:r>
            <w:r>
              <w:rPr>
                <w:rFonts w:hint="eastAsia" w:cs="宋体" w:asciiTheme="minorEastAsia" w:hAnsiTheme="minorEastAsia" w:eastAsiaTheme="minorEastAsia"/>
                <w:szCs w:val="21"/>
                <w:shd w:val="clear" w:color="auto" w:fill="FFFFFF"/>
                <w:lang w:eastAsia="zh-CN"/>
              </w:rPr>
              <w:t>响应文件</w:t>
            </w:r>
            <w:r>
              <w:rPr>
                <w:rFonts w:hint="eastAsia" w:cs="宋体" w:asciiTheme="minorEastAsia" w:hAnsiTheme="minorEastAsia" w:eastAsiaTheme="minorEastAsia"/>
                <w:szCs w:val="21"/>
              </w:rPr>
              <w:t>截止之日起90日。</w:t>
            </w:r>
          </w:p>
          <w:p w14:paraId="19A5B063">
            <w:pPr>
              <w:pStyle w:val="17"/>
              <w:spacing w:line="360" w:lineRule="auto"/>
              <w:jc w:val="both"/>
              <w:rPr>
                <w:rFonts w:cs="宋体" w:asciiTheme="minorEastAsia" w:hAnsiTheme="minorEastAsia" w:eastAsiaTheme="minorEastAsia"/>
                <w:szCs w:val="21"/>
              </w:rPr>
            </w:pPr>
            <w:r>
              <w:rPr>
                <w:rFonts w:hint="eastAsia" w:cs="宋体" w:asciiTheme="minorEastAsia" w:hAnsiTheme="minorEastAsia" w:eastAsiaTheme="minorEastAsia"/>
                <w:szCs w:val="21"/>
              </w:rPr>
              <w:t>从</w:t>
            </w:r>
            <w:r>
              <w:rPr>
                <w:rFonts w:hint="eastAsia" w:cs="宋体" w:asciiTheme="minorEastAsia" w:hAnsiTheme="minorEastAsia" w:eastAsiaTheme="minorEastAsia"/>
                <w:szCs w:val="21"/>
                <w:lang w:eastAsia="zh-CN"/>
              </w:rPr>
              <w:t>响应</w:t>
            </w:r>
            <w:r>
              <w:rPr>
                <w:rFonts w:hint="eastAsia" w:cs="宋体" w:asciiTheme="minorEastAsia" w:hAnsiTheme="minorEastAsia" w:eastAsiaTheme="minorEastAsia"/>
                <w:szCs w:val="21"/>
              </w:rPr>
              <w:t>截止之日起，</w:t>
            </w:r>
            <w:r>
              <w:rPr>
                <w:rFonts w:hint="eastAsia" w:cs="宋体" w:asciiTheme="minorEastAsia" w:hAnsiTheme="minorEastAsia" w:eastAsiaTheme="minorEastAsia"/>
                <w:szCs w:val="21"/>
                <w:lang w:eastAsia="zh-CN"/>
              </w:rPr>
              <w:t>响应文件</w:t>
            </w:r>
            <w:r>
              <w:rPr>
                <w:rFonts w:hint="eastAsia" w:cs="宋体" w:asciiTheme="minorEastAsia" w:hAnsiTheme="minorEastAsia" w:eastAsiaTheme="minorEastAsia"/>
                <w:szCs w:val="21"/>
              </w:rPr>
              <w:t>中的所有承诺应满足有效期为90天。在特殊情况下，采购人可于</w:t>
            </w:r>
            <w:r>
              <w:rPr>
                <w:rFonts w:hint="eastAsia" w:cs="宋体" w:asciiTheme="minorEastAsia" w:hAnsiTheme="minorEastAsia" w:eastAsiaTheme="minorEastAsia"/>
                <w:szCs w:val="21"/>
                <w:lang w:eastAsia="zh-CN"/>
              </w:rPr>
              <w:t>响应</w:t>
            </w:r>
            <w:r>
              <w:rPr>
                <w:rFonts w:hint="eastAsia" w:cs="宋体" w:asciiTheme="minorEastAsia" w:hAnsiTheme="minorEastAsia" w:eastAsiaTheme="minorEastAsia"/>
                <w:szCs w:val="21"/>
              </w:rPr>
              <w:t>有效期日满之前要求</w:t>
            </w:r>
            <w:r>
              <w:rPr>
                <w:rFonts w:hint="eastAsia" w:cs="宋体" w:asciiTheme="minorEastAsia" w:hAnsiTheme="minorEastAsia" w:eastAsiaTheme="minorEastAsia"/>
                <w:szCs w:val="21"/>
                <w:lang w:eastAsia="zh-CN"/>
              </w:rPr>
              <w:t>响应供应商</w:t>
            </w:r>
            <w:r>
              <w:rPr>
                <w:rFonts w:hint="eastAsia" w:cs="宋体" w:asciiTheme="minorEastAsia" w:hAnsiTheme="minorEastAsia" w:eastAsiaTheme="minorEastAsia"/>
                <w:szCs w:val="21"/>
              </w:rPr>
              <w:t>同意延长有效日期，要求与答复均应以书面形式。</w:t>
            </w:r>
          </w:p>
        </w:tc>
      </w:tr>
      <w:tr w14:paraId="3B3F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 w:type="pct"/>
            <w:tcBorders>
              <w:top w:val="single" w:color="auto" w:sz="4" w:space="0"/>
              <w:left w:val="single" w:color="auto" w:sz="4" w:space="0"/>
              <w:right w:val="single" w:color="auto" w:sz="4" w:space="0"/>
            </w:tcBorders>
            <w:vAlign w:val="center"/>
          </w:tcPr>
          <w:p w14:paraId="48098481">
            <w:pPr>
              <w:numPr>
                <w:ilvl w:val="0"/>
                <w:numId w:val="3"/>
              </w:numPr>
              <w:spacing w:line="360" w:lineRule="auto"/>
              <w:jc w:val="center"/>
              <w:rPr>
                <w:rFonts w:cs="宋体" w:asciiTheme="minorEastAsia" w:hAnsiTheme="minorEastAsia" w:eastAsiaTheme="minorEastAsia"/>
                <w:szCs w:val="21"/>
              </w:rPr>
            </w:pPr>
          </w:p>
        </w:tc>
        <w:tc>
          <w:tcPr>
            <w:tcW w:w="639" w:type="pct"/>
            <w:tcBorders>
              <w:top w:val="single" w:color="auto" w:sz="4" w:space="0"/>
              <w:left w:val="single" w:color="auto" w:sz="4" w:space="0"/>
              <w:right w:val="single" w:color="auto" w:sz="4" w:space="0"/>
            </w:tcBorders>
            <w:vAlign w:val="center"/>
          </w:tcPr>
          <w:p w14:paraId="566B7EE3">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响应文件</w:t>
            </w:r>
            <w:r>
              <w:rPr>
                <w:rFonts w:hint="eastAsia" w:cs="宋体" w:asciiTheme="minorEastAsia" w:hAnsiTheme="minorEastAsia" w:eastAsiaTheme="minorEastAsia"/>
                <w:szCs w:val="21"/>
              </w:rPr>
              <w:t>份数和密封要求</w:t>
            </w:r>
          </w:p>
        </w:tc>
        <w:tc>
          <w:tcPr>
            <w:tcW w:w="4021" w:type="pct"/>
            <w:tcBorders>
              <w:top w:val="single" w:color="auto" w:sz="4" w:space="0"/>
              <w:left w:val="single" w:color="auto" w:sz="4" w:space="0"/>
              <w:bottom w:val="single" w:color="auto" w:sz="4" w:space="0"/>
              <w:right w:val="single" w:color="auto" w:sz="4" w:space="0"/>
            </w:tcBorders>
            <w:vAlign w:val="center"/>
          </w:tcPr>
          <w:p w14:paraId="00497425">
            <w:pPr>
              <w:pStyle w:val="25"/>
              <w:adjustRightInd w:val="0"/>
              <w:snapToGrid w:val="0"/>
              <w:spacing w:line="360" w:lineRule="auto"/>
              <w:rPr>
                <w:rFonts w:cs="宋体" w:asciiTheme="minorEastAsia" w:hAnsiTheme="minorEastAsia" w:eastAsiaTheme="minorEastAsia"/>
                <w:color w:val="000000"/>
                <w:szCs w:val="21"/>
              </w:rPr>
            </w:pPr>
            <w:bookmarkStart w:id="127" w:name="_Toc134955416"/>
            <w:r>
              <w:rPr>
                <w:rFonts w:hint="eastAsia" w:cs="宋体" w:asciiTheme="minorEastAsia" w:hAnsiTheme="minorEastAsia" w:eastAsiaTheme="minorEastAsia"/>
                <w:color w:val="000000"/>
                <w:szCs w:val="21"/>
              </w:rPr>
              <w:t>1.全部</w:t>
            </w:r>
            <w:r>
              <w:rPr>
                <w:rFonts w:hint="eastAsia" w:cs="宋体" w:asciiTheme="minorEastAsia" w:hAnsiTheme="minorEastAsia" w:eastAsiaTheme="minorEastAsia"/>
                <w:color w:val="000000"/>
                <w:szCs w:val="21"/>
                <w:lang w:eastAsia="zh-CN"/>
              </w:rPr>
              <w:t>响应文件</w:t>
            </w:r>
            <w:r>
              <w:rPr>
                <w:rFonts w:hint="eastAsia" w:cs="宋体" w:asciiTheme="minorEastAsia" w:hAnsiTheme="minorEastAsia" w:eastAsiaTheme="minorEastAsia"/>
                <w:color w:val="000000"/>
                <w:szCs w:val="21"/>
              </w:rPr>
              <w:t>应一式4份，正本1份，副本3份，</w:t>
            </w:r>
            <w:r>
              <w:rPr>
                <w:rFonts w:hint="eastAsia" w:cs="宋体" w:asciiTheme="minorEastAsia" w:hAnsiTheme="minorEastAsia" w:eastAsiaTheme="minorEastAsia"/>
                <w:color w:val="000000"/>
                <w:szCs w:val="21"/>
                <w:lang w:eastAsia="zh-CN"/>
              </w:rPr>
              <w:t>响应文件</w:t>
            </w:r>
            <w:r>
              <w:rPr>
                <w:rFonts w:hint="eastAsia" w:cs="宋体" w:asciiTheme="minorEastAsia" w:hAnsiTheme="minorEastAsia" w:eastAsiaTheme="minorEastAsia"/>
                <w:color w:val="000000"/>
                <w:szCs w:val="21"/>
              </w:rPr>
              <w:t>的任何涂改或修正，涂改或修正处必须由</w:t>
            </w:r>
            <w:r>
              <w:rPr>
                <w:rFonts w:hint="eastAsia" w:cs="宋体" w:asciiTheme="minorEastAsia" w:hAnsiTheme="minorEastAsia" w:eastAsiaTheme="minorEastAsia"/>
                <w:color w:val="000000"/>
                <w:szCs w:val="21"/>
                <w:lang w:eastAsia="zh-CN"/>
              </w:rPr>
              <w:t>响应供应商</w:t>
            </w:r>
            <w:r>
              <w:rPr>
                <w:rFonts w:hint="eastAsia" w:cs="宋体" w:asciiTheme="minorEastAsia" w:hAnsiTheme="minorEastAsia" w:eastAsiaTheme="minorEastAsia"/>
                <w:color w:val="000000"/>
                <w:szCs w:val="21"/>
              </w:rPr>
              <w:t>代表签字盖章确认。</w:t>
            </w:r>
            <w:bookmarkEnd w:id="127"/>
          </w:p>
          <w:p w14:paraId="18EBB503">
            <w:pPr>
              <w:pStyle w:val="25"/>
              <w:adjustRightInd w:val="0"/>
              <w:snapToGrid w:val="0"/>
              <w:spacing w:line="360" w:lineRule="auto"/>
              <w:rPr>
                <w:rFonts w:cs="宋体" w:asciiTheme="minorEastAsia" w:hAnsiTheme="minorEastAsia" w:eastAsiaTheme="minorEastAsia"/>
                <w:color w:val="000000"/>
                <w:szCs w:val="21"/>
              </w:rPr>
            </w:pPr>
            <w:bookmarkStart w:id="128" w:name="_Toc134955417"/>
            <w:r>
              <w:rPr>
                <w:rFonts w:hint="eastAsia" w:cs="宋体" w:asciiTheme="minorEastAsia" w:hAnsiTheme="minorEastAsia" w:eastAsiaTheme="minorEastAsia"/>
                <w:color w:val="000000"/>
                <w:szCs w:val="21"/>
              </w:rPr>
              <w:t>2.</w:t>
            </w:r>
            <w:r>
              <w:rPr>
                <w:rFonts w:hint="eastAsia" w:cs="宋体" w:asciiTheme="minorEastAsia" w:hAnsiTheme="minorEastAsia" w:eastAsiaTheme="minorEastAsia"/>
                <w:color w:val="000000"/>
                <w:szCs w:val="21"/>
                <w:lang w:eastAsia="zh-CN"/>
              </w:rPr>
              <w:t>响应文件</w:t>
            </w:r>
            <w:r>
              <w:rPr>
                <w:rFonts w:hint="eastAsia" w:cs="宋体" w:asciiTheme="minorEastAsia" w:hAnsiTheme="minorEastAsia" w:eastAsiaTheme="minorEastAsia"/>
                <w:color w:val="000000"/>
                <w:szCs w:val="21"/>
              </w:rPr>
              <w:t>封面标明“正本”或 “副本”，并盖章。副本可采用正本的复印件，一旦正本与副本不符，以正本为准。</w:t>
            </w:r>
            <w:bookmarkEnd w:id="128"/>
          </w:p>
          <w:p w14:paraId="6B62EB56">
            <w:pPr>
              <w:pStyle w:val="25"/>
              <w:adjustRightInd w:val="0"/>
              <w:snapToGrid w:val="0"/>
              <w:spacing w:line="360" w:lineRule="auto"/>
              <w:rPr>
                <w:rFonts w:asciiTheme="minorEastAsia" w:hAnsiTheme="minorEastAsia" w:eastAsiaTheme="minorEastAsia"/>
                <w:szCs w:val="21"/>
              </w:rPr>
            </w:pPr>
            <w:bookmarkStart w:id="129" w:name="_Toc134955418"/>
            <w:r>
              <w:rPr>
                <w:rFonts w:hint="eastAsia" w:cs="宋体" w:asciiTheme="minorEastAsia" w:hAnsiTheme="minorEastAsia" w:eastAsiaTheme="minorEastAsia"/>
                <w:color w:val="000000"/>
                <w:szCs w:val="21"/>
              </w:rPr>
              <w:t>3.正本和电子文件一起封装</w:t>
            </w:r>
            <w:r>
              <w:rPr>
                <w:rFonts w:hint="eastAsia" w:cs="宋体" w:asciiTheme="minorEastAsia" w:hAnsiTheme="minorEastAsia" w:eastAsiaTheme="minorEastAsia"/>
                <w:b/>
                <w:color w:val="000000"/>
                <w:szCs w:val="21"/>
              </w:rPr>
              <w:t>（电子文件要求光盘或者 U 盘介质且不加密不设置密码，提供 Word 和 PDF 两种格式，Word 内容应与</w:t>
            </w:r>
            <w:r>
              <w:rPr>
                <w:rFonts w:hint="eastAsia" w:cs="宋体" w:asciiTheme="minorEastAsia" w:hAnsiTheme="minorEastAsia" w:eastAsiaTheme="minorEastAsia"/>
                <w:b/>
                <w:color w:val="000000"/>
                <w:szCs w:val="21"/>
                <w:lang w:eastAsia="zh-CN"/>
              </w:rPr>
              <w:t>响应供应商</w:t>
            </w:r>
            <w:r>
              <w:rPr>
                <w:rFonts w:hint="eastAsia" w:cs="宋体" w:asciiTheme="minorEastAsia" w:hAnsiTheme="minorEastAsia" w:eastAsiaTheme="minorEastAsia"/>
                <w:b/>
                <w:color w:val="000000"/>
                <w:szCs w:val="21"/>
              </w:rPr>
              <w:t>打印产生的纸质</w:t>
            </w:r>
            <w:r>
              <w:rPr>
                <w:rFonts w:hint="eastAsia" w:cs="宋体" w:asciiTheme="minorEastAsia" w:hAnsiTheme="minorEastAsia" w:eastAsiaTheme="minorEastAsia"/>
                <w:b/>
                <w:color w:val="000000"/>
                <w:szCs w:val="21"/>
                <w:lang w:eastAsia="zh-CN"/>
              </w:rPr>
              <w:t>响应文件</w:t>
            </w:r>
            <w:r>
              <w:rPr>
                <w:rFonts w:hint="eastAsia" w:cs="宋体" w:asciiTheme="minorEastAsia" w:hAnsiTheme="minorEastAsia" w:eastAsiaTheme="minorEastAsia"/>
                <w:b/>
                <w:color w:val="000000"/>
                <w:szCs w:val="21"/>
              </w:rPr>
              <w:t>内容一致，PDF 内容必须是盖章、签署的纸质</w:t>
            </w:r>
            <w:r>
              <w:rPr>
                <w:rFonts w:hint="eastAsia" w:cs="宋体" w:asciiTheme="minorEastAsia" w:hAnsiTheme="minorEastAsia" w:eastAsiaTheme="minorEastAsia"/>
                <w:b/>
                <w:color w:val="000000"/>
                <w:szCs w:val="21"/>
                <w:lang w:eastAsia="zh-CN"/>
              </w:rPr>
              <w:t>响应文件</w:t>
            </w:r>
            <w:r>
              <w:rPr>
                <w:rFonts w:hint="eastAsia" w:cs="宋体" w:asciiTheme="minorEastAsia" w:hAnsiTheme="minorEastAsia" w:eastAsiaTheme="minorEastAsia"/>
                <w:b/>
                <w:color w:val="000000"/>
                <w:szCs w:val="21"/>
              </w:rPr>
              <w:t>正本扫描件）</w:t>
            </w:r>
            <w:r>
              <w:rPr>
                <w:rFonts w:hint="eastAsia" w:cs="宋体" w:asciiTheme="minorEastAsia" w:hAnsiTheme="minorEastAsia" w:eastAsiaTheme="minorEastAsia"/>
                <w:color w:val="000000"/>
                <w:szCs w:val="21"/>
              </w:rPr>
              <w:t>，副本全部一起封装，</w:t>
            </w:r>
            <w:r>
              <w:rPr>
                <w:rFonts w:hint="eastAsia" w:cs="宋体" w:asciiTheme="minorEastAsia" w:hAnsiTheme="minorEastAsia" w:eastAsiaTheme="minorEastAsia"/>
                <w:color w:val="000000"/>
                <w:szCs w:val="21"/>
                <w:lang w:eastAsia="zh-CN"/>
              </w:rPr>
              <w:t>报价</w:t>
            </w:r>
            <w:r>
              <w:rPr>
                <w:rFonts w:hint="eastAsia" w:cs="宋体" w:asciiTheme="minorEastAsia" w:hAnsiTheme="minorEastAsia" w:eastAsiaTheme="minorEastAsia"/>
                <w:color w:val="000000"/>
                <w:szCs w:val="21"/>
              </w:rPr>
              <w:t>信封【内含：</w:t>
            </w:r>
            <w:r>
              <w:rPr>
                <w:rFonts w:hint="eastAsia" w:cs="宋体" w:asciiTheme="minorEastAsia" w:hAnsiTheme="minorEastAsia" w:eastAsiaTheme="minorEastAsia"/>
                <w:color w:val="000000"/>
                <w:szCs w:val="21"/>
                <w:lang w:eastAsia="zh-CN"/>
              </w:rPr>
              <w:t>报价</w:t>
            </w:r>
            <w:r>
              <w:rPr>
                <w:rFonts w:hint="eastAsia" w:cs="宋体" w:asciiTheme="minorEastAsia" w:hAnsiTheme="minorEastAsia" w:eastAsiaTheme="minorEastAsia"/>
                <w:color w:val="000000"/>
                <w:szCs w:val="21"/>
              </w:rPr>
              <w:t>一览表、中小企业声明函、残疾人福利性单位声明函（如有）、监狱企业的证明文件（如有）】单独封装，封套表面标明 “正本”、“副本”、“</w:t>
            </w:r>
            <w:r>
              <w:rPr>
                <w:rFonts w:hint="eastAsia" w:cs="宋体" w:asciiTheme="minorEastAsia" w:hAnsiTheme="minorEastAsia" w:eastAsiaTheme="minorEastAsia"/>
                <w:color w:val="000000"/>
                <w:szCs w:val="21"/>
                <w:lang w:eastAsia="zh-CN"/>
              </w:rPr>
              <w:t>报价</w:t>
            </w:r>
            <w:r>
              <w:rPr>
                <w:rFonts w:hint="eastAsia" w:cs="宋体" w:asciiTheme="minorEastAsia" w:hAnsiTheme="minorEastAsia" w:eastAsiaTheme="minorEastAsia"/>
                <w:color w:val="000000"/>
                <w:szCs w:val="21"/>
              </w:rPr>
              <w:t>信封”</w:t>
            </w:r>
            <w:bookmarkEnd w:id="129"/>
            <w:r>
              <w:rPr>
                <w:rFonts w:hint="eastAsia" w:cs="宋体" w:asciiTheme="minorEastAsia" w:hAnsiTheme="minorEastAsia" w:eastAsiaTheme="minorEastAsia"/>
                <w:color w:val="000000"/>
                <w:szCs w:val="21"/>
              </w:rPr>
              <w:t>，并在封口上加盖</w:t>
            </w:r>
            <w:r>
              <w:rPr>
                <w:rFonts w:hint="eastAsia" w:cs="宋体" w:asciiTheme="minorEastAsia" w:hAnsiTheme="minorEastAsia" w:eastAsiaTheme="minorEastAsia"/>
                <w:color w:val="000000"/>
                <w:szCs w:val="21"/>
                <w:lang w:eastAsia="zh-CN"/>
              </w:rPr>
              <w:t>响应供应商</w:t>
            </w:r>
            <w:r>
              <w:rPr>
                <w:rFonts w:hint="eastAsia" w:cs="宋体" w:asciiTheme="minorEastAsia" w:hAnsiTheme="minorEastAsia" w:eastAsiaTheme="minorEastAsia"/>
                <w:color w:val="000000"/>
                <w:szCs w:val="21"/>
              </w:rPr>
              <w:t>的公章。</w:t>
            </w:r>
          </w:p>
        </w:tc>
      </w:tr>
      <w:tr w14:paraId="3B45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 w:type="pct"/>
            <w:tcBorders>
              <w:top w:val="single" w:color="auto" w:sz="4" w:space="0"/>
              <w:left w:val="single" w:color="auto" w:sz="4" w:space="0"/>
              <w:bottom w:val="single" w:color="auto" w:sz="4" w:space="0"/>
              <w:right w:val="single" w:color="auto" w:sz="4" w:space="0"/>
            </w:tcBorders>
            <w:vAlign w:val="center"/>
          </w:tcPr>
          <w:p w14:paraId="6EDC3DAE">
            <w:pPr>
              <w:numPr>
                <w:ilvl w:val="0"/>
                <w:numId w:val="3"/>
              </w:numPr>
              <w:spacing w:line="360" w:lineRule="auto"/>
              <w:jc w:val="center"/>
              <w:rPr>
                <w:rFonts w:cs="宋体" w:asciiTheme="minorEastAsia" w:hAnsiTheme="minorEastAsia" w:eastAsiaTheme="minorEastAsia"/>
                <w:szCs w:val="21"/>
              </w:rPr>
            </w:pPr>
          </w:p>
        </w:tc>
        <w:tc>
          <w:tcPr>
            <w:tcW w:w="639" w:type="pct"/>
            <w:tcBorders>
              <w:top w:val="single" w:color="auto" w:sz="4" w:space="0"/>
              <w:left w:val="single" w:color="auto" w:sz="4" w:space="0"/>
              <w:bottom w:val="single" w:color="auto" w:sz="4" w:space="0"/>
              <w:right w:val="single" w:color="auto" w:sz="4" w:space="0"/>
            </w:tcBorders>
            <w:vAlign w:val="center"/>
          </w:tcPr>
          <w:p w14:paraId="62B29594">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评审委员会组成</w:t>
            </w:r>
          </w:p>
        </w:tc>
        <w:tc>
          <w:tcPr>
            <w:tcW w:w="4021" w:type="pct"/>
            <w:tcBorders>
              <w:top w:val="single" w:color="auto" w:sz="4" w:space="0"/>
              <w:left w:val="single" w:color="auto" w:sz="4" w:space="0"/>
              <w:bottom w:val="single" w:color="auto" w:sz="4" w:space="0"/>
              <w:right w:val="single" w:color="auto" w:sz="4" w:space="0"/>
            </w:tcBorders>
            <w:vAlign w:val="center"/>
          </w:tcPr>
          <w:p w14:paraId="7A1A2A19">
            <w:pPr>
              <w:tabs>
                <w:tab w:val="left" w:pos="720"/>
              </w:tabs>
              <w:snapToGrid w:val="0"/>
              <w:spacing w:line="360" w:lineRule="auto"/>
              <w:ind w:left="4" w:leftChars="2"/>
              <w:rPr>
                <w:rFonts w:asciiTheme="minorEastAsia" w:hAnsiTheme="minorEastAsia" w:eastAsiaTheme="minorEastAsia"/>
                <w:szCs w:val="21"/>
              </w:rPr>
            </w:pPr>
            <w:r>
              <w:rPr>
                <w:rFonts w:hint="eastAsia" w:cs="宋体" w:asciiTheme="minorEastAsia" w:hAnsiTheme="minorEastAsia" w:eastAsiaTheme="minorEastAsia"/>
                <w:szCs w:val="21"/>
              </w:rPr>
              <w:t>本次采购项目依法组建评审小组，评审小组成员人数为3人单数，如采购人不派代表评审，则评审小组全部由专家组成。</w:t>
            </w:r>
          </w:p>
        </w:tc>
      </w:tr>
      <w:tr w14:paraId="734E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 w:type="pct"/>
            <w:tcBorders>
              <w:top w:val="single" w:color="auto" w:sz="4" w:space="0"/>
              <w:left w:val="single" w:color="auto" w:sz="4" w:space="0"/>
              <w:bottom w:val="single" w:color="auto" w:sz="4" w:space="0"/>
              <w:right w:val="single" w:color="auto" w:sz="4" w:space="0"/>
            </w:tcBorders>
            <w:vAlign w:val="center"/>
          </w:tcPr>
          <w:p w14:paraId="27078686">
            <w:pPr>
              <w:numPr>
                <w:ilvl w:val="0"/>
                <w:numId w:val="3"/>
              </w:numPr>
              <w:spacing w:line="360" w:lineRule="auto"/>
              <w:jc w:val="center"/>
              <w:rPr>
                <w:rFonts w:cs="宋体" w:asciiTheme="minorEastAsia" w:hAnsiTheme="minorEastAsia" w:eastAsiaTheme="minorEastAsia"/>
                <w:szCs w:val="21"/>
              </w:rPr>
            </w:pPr>
          </w:p>
        </w:tc>
        <w:tc>
          <w:tcPr>
            <w:tcW w:w="639" w:type="pct"/>
            <w:tcBorders>
              <w:top w:val="single" w:color="auto" w:sz="4" w:space="0"/>
              <w:left w:val="single" w:color="auto" w:sz="4" w:space="0"/>
              <w:bottom w:val="single" w:color="auto" w:sz="4" w:space="0"/>
              <w:right w:val="single" w:color="auto" w:sz="4" w:space="0"/>
            </w:tcBorders>
            <w:vAlign w:val="center"/>
          </w:tcPr>
          <w:p w14:paraId="52273865">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评审方法</w:t>
            </w:r>
          </w:p>
        </w:tc>
        <w:tc>
          <w:tcPr>
            <w:tcW w:w="4021" w:type="pct"/>
            <w:tcBorders>
              <w:top w:val="single" w:color="auto" w:sz="4" w:space="0"/>
              <w:left w:val="single" w:color="auto" w:sz="4" w:space="0"/>
              <w:bottom w:val="single" w:color="auto" w:sz="4" w:space="0"/>
              <w:right w:val="single" w:color="auto" w:sz="4" w:space="0"/>
            </w:tcBorders>
            <w:vAlign w:val="center"/>
          </w:tcPr>
          <w:p w14:paraId="7622B467">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b/>
                <w:szCs w:val="21"/>
              </w:rPr>
              <w:t>综合评分法</w:t>
            </w:r>
            <w:r>
              <w:rPr>
                <w:rFonts w:hint="eastAsia" w:cs="宋体" w:asciiTheme="minorEastAsia" w:hAnsiTheme="minorEastAsia" w:eastAsiaTheme="minorEastAsia"/>
                <w:szCs w:val="21"/>
              </w:rPr>
              <w:t>。</w:t>
            </w:r>
          </w:p>
        </w:tc>
      </w:tr>
      <w:tr w14:paraId="0843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 w:type="pct"/>
            <w:tcBorders>
              <w:top w:val="single" w:color="auto" w:sz="4" w:space="0"/>
              <w:left w:val="single" w:color="auto" w:sz="4" w:space="0"/>
              <w:bottom w:val="single" w:color="auto" w:sz="4" w:space="0"/>
              <w:right w:val="single" w:color="auto" w:sz="4" w:space="0"/>
            </w:tcBorders>
            <w:vAlign w:val="center"/>
          </w:tcPr>
          <w:p w14:paraId="23D1C187">
            <w:pPr>
              <w:numPr>
                <w:ilvl w:val="0"/>
                <w:numId w:val="3"/>
              </w:numPr>
              <w:spacing w:line="360" w:lineRule="auto"/>
              <w:jc w:val="center"/>
              <w:rPr>
                <w:rFonts w:cs="宋体" w:asciiTheme="minorEastAsia" w:hAnsiTheme="minorEastAsia" w:eastAsiaTheme="minorEastAsia"/>
                <w:bCs/>
                <w:szCs w:val="21"/>
              </w:rPr>
            </w:pPr>
          </w:p>
        </w:tc>
        <w:tc>
          <w:tcPr>
            <w:tcW w:w="639" w:type="pct"/>
            <w:tcBorders>
              <w:top w:val="single" w:color="auto" w:sz="4" w:space="0"/>
              <w:left w:val="single" w:color="auto" w:sz="4" w:space="0"/>
              <w:bottom w:val="single" w:color="auto" w:sz="4" w:space="0"/>
              <w:right w:val="single" w:color="auto" w:sz="4" w:space="0"/>
            </w:tcBorders>
            <w:vAlign w:val="center"/>
          </w:tcPr>
          <w:p w14:paraId="0960E2FD">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bCs/>
                <w:szCs w:val="21"/>
                <w:lang w:eastAsia="zh-CN"/>
              </w:rPr>
              <w:t>成交候选供应商</w:t>
            </w:r>
            <w:r>
              <w:rPr>
                <w:rFonts w:hint="eastAsia" w:cs="宋体" w:asciiTheme="minorEastAsia" w:hAnsiTheme="minorEastAsia" w:eastAsiaTheme="minorEastAsia"/>
                <w:bCs/>
                <w:szCs w:val="21"/>
              </w:rPr>
              <w:t>的推荐</w:t>
            </w:r>
          </w:p>
        </w:tc>
        <w:tc>
          <w:tcPr>
            <w:tcW w:w="4021" w:type="pct"/>
            <w:tcBorders>
              <w:top w:val="single" w:color="auto" w:sz="4" w:space="0"/>
              <w:left w:val="single" w:color="auto" w:sz="4" w:space="0"/>
              <w:bottom w:val="single" w:color="auto" w:sz="4" w:space="0"/>
              <w:right w:val="single" w:color="auto" w:sz="4" w:space="0"/>
            </w:tcBorders>
            <w:vAlign w:val="center"/>
          </w:tcPr>
          <w:p w14:paraId="3564ACA8">
            <w:pPr>
              <w:tabs>
                <w:tab w:val="left" w:pos="720"/>
              </w:tabs>
              <w:snapToGrid w:val="0"/>
              <w:spacing w:line="360" w:lineRule="auto"/>
              <w:ind w:left="4" w:leftChars="2"/>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推荐综合得分排名第一的</w:t>
            </w:r>
            <w:r>
              <w:rPr>
                <w:rFonts w:hint="eastAsia" w:cs="宋体" w:asciiTheme="minorEastAsia" w:hAnsiTheme="minorEastAsia" w:eastAsiaTheme="minorEastAsia"/>
                <w:szCs w:val="21"/>
                <w:lang w:eastAsia="zh-CN"/>
              </w:rPr>
              <w:t>响应供应商</w:t>
            </w:r>
            <w:r>
              <w:rPr>
                <w:rFonts w:hint="eastAsia" w:cs="宋体" w:asciiTheme="minorEastAsia" w:hAnsiTheme="minorEastAsia" w:eastAsiaTheme="minorEastAsia"/>
                <w:szCs w:val="21"/>
              </w:rPr>
              <w:t>为第一</w:t>
            </w:r>
            <w:r>
              <w:rPr>
                <w:rFonts w:hint="eastAsia" w:cs="宋体" w:asciiTheme="minorEastAsia" w:hAnsiTheme="minorEastAsia" w:eastAsiaTheme="minorEastAsia"/>
                <w:szCs w:val="21"/>
                <w:lang w:eastAsia="zh-CN"/>
              </w:rPr>
              <w:t>成交候选供应商</w:t>
            </w:r>
            <w:r>
              <w:rPr>
                <w:rFonts w:hint="eastAsia" w:cs="宋体" w:asciiTheme="minorEastAsia" w:hAnsiTheme="minorEastAsia" w:eastAsiaTheme="minorEastAsia"/>
                <w:szCs w:val="21"/>
              </w:rPr>
              <w:t>，排名第二的</w:t>
            </w:r>
            <w:r>
              <w:rPr>
                <w:rFonts w:hint="eastAsia" w:cs="宋体" w:asciiTheme="minorEastAsia" w:hAnsiTheme="minorEastAsia" w:eastAsiaTheme="minorEastAsia"/>
                <w:szCs w:val="21"/>
                <w:lang w:eastAsia="zh-CN"/>
              </w:rPr>
              <w:t>响应供应商</w:t>
            </w:r>
            <w:r>
              <w:rPr>
                <w:rFonts w:hint="eastAsia" w:cs="宋体" w:asciiTheme="minorEastAsia" w:hAnsiTheme="minorEastAsia" w:eastAsiaTheme="minorEastAsia"/>
                <w:szCs w:val="21"/>
              </w:rPr>
              <w:t>为第二</w:t>
            </w:r>
            <w:r>
              <w:rPr>
                <w:rFonts w:hint="eastAsia" w:cs="宋体" w:asciiTheme="minorEastAsia" w:hAnsiTheme="minorEastAsia" w:eastAsiaTheme="minorEastAsia"/>
                <w:szCs w:val="21"/>
                <w:lang w:eastAsia="zh-CN"/>
              </w:rPr>
              <w:t>成交候选供应商</w:t>
            </w:r>
            <w:r>
              <w:rPr>
                <w:rFonts w:hint="eastAsia" w:cs="宋体" w:asciiTheme="minorEastAsia" w:hAnsiTheme="minorEastAsia" w:eastAsiaTheme="minorEastAsia"/>
                <w:szCs w:val="21"/>
              </w:rPr>
              <w:t>。综合得分相同的，按照报价由低到高的顺序推荐。综合得分且报价相同的，名次由评审委员会抽签确定。</w:t>
            </w:r>
          </w:p>
          <w:p w14:paraId="269B8302">
            <w:pPr>
              <w:tabs>
                <w:tab w:val="left" w:pos="720"/>
              </w:tabs>
              <w:snapToGrid w:val="0"/>
              <w:spacing w:line="360" w:lineRule="auto"/>
              <w:ind w:left="4" w:leftChars="2"/>
            </w:pP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rPr>
              <w:t>提供相同品牌产品（非单一产品采购，以核心产品为准。多个核心产品的，有一种产品品牌相同，即视为提供相同品牌产品），评审后得分最高的同品牌</w:t>
            </w:r>
            <w:r>
              <w:rPr>
                <w:rFonts w:hint="eastAsia" w:cs="宋体" w:asciiTheme="minorEastAsia" w:hAnsiTheme="minorEastAsia" w:eastAsiaTheme="minorEastAsia"/>
                <w:szCs w:val="21"/>
                <w:lang w:val="en-US" w:eastAsia="zh-CN"/>
              </w:rPr>
              <w:t>响应</w:t>
            </w:r>
            <w:r>
              <w:rPr>
                <w:rFonts w:hint="eastAsia" w:cs="宋体" w:asciiTheme="minorEastAsia" w:hAnsiTheme="minorEastAsia" w:eastAsiaTheme="minorEastAsia"/>
                <w:szCs w:val="21"/>
              </w:rPr>
              <w:t>供应商获得</w:t>
            </w:r>
            <w:r>
              <w:rPr>
                <w:rFonts w:hint="eastAsia" w:cs="宋体" w:asciiTheme="minorEastAsia" w:hAnsiTheme="minorEastAsia" w:eastAsiaTheme="minorEastAsia"/>
                <w:szCs w:val="21"/>
                <w:lang w:val="en-US" w:eastAsia="zh-CN"/>
              </w:rPr>
              <w:t>成交候选供应商</w:t>
            </w:r>
            <w:r>
              <w:rPr>
                <w:rFonts w:hint="eastAsia" w:cs="宋体" w:asciiTheme="minorEastAsia" w:hAnsiTheme="minorEastAsia" w:eastAsiaTheme="minorEastAsia"/>
                <w:szCs w:val="21"/>
              </w:rPr>
              <w:t>推荐资格；其他同品牌</w:t>
            </w:r>
            <w:r>
              <w:rPr>
                <w:rFonts w:hint="eastAsia" w:cs="宋体" w:asciiTheme="minorEastAsia" w:hAnsiTheme="minorEastAsia" w:eastAsiaTheme="minorEastAsia"/>
                <w:szCs w:val="21"/>
                <w:lang w:eastAsia="zh-CN"/>
              </w:rPr>
              <w:t>响应供应商</w:t>
            </w:r>
            <w:r>
              <w:rPr>
                <w:rFonts w:hint="eastAsia" w:cs="宋体" w:asciiTheme="minorEastAsia" w:hAnsiTheme="minorEastAsia" w:eastAsiaTheme="minorEastAsia"/>
                <w:szCs w:val="21"/>
              </w:rPr>
              <w:t>不作为</w:t>
            </w:r>
            <w:r>
              <w:rPr>
                <w:rFonts w:hint="eastAsia" w:cs="宋体" w:asciiTheme="minorEastAsia" w:hAnsiTheme="minorEastAsia" w:eastAsiaTheme="minorEastAsia"/>
                <w:szCs w:val="21"/>
                <w:lang w:val="en-US" w:eastAsia="zh-CN"/>
              </w:rPr>
              <w:t>成交候选供应商</w:t>
            </w:r>
            <w:r>
              <w:rPr>
                <w:rFonts w:hint="eastAsia" w:cs="宋体" w:asciiTheme="minorEastAsia" w:hAnsiTheme="minorEastAsia" w:eastAsiaTheme="minorEastAsia"/>
                <w:szCs w:val="21"/>
              </w:rPr>
              <w:t>。</w:t>
            </w:r>
          </w:p>
        </w:tc>
      </w:tr>
      <w:tr w14:paraId="5B08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 w:type="pct"/>
            <w:vMerge w:val="restart"/>
            <w:tcBorders>
              <w:top w:val="single" w:color="auto" w:sz="4" w:space="0"/>
              <w:left w:val="single" w:color="auto" w:sz="4" w:space="0"/>
              <w:right w:val="single" w:color="auto" w:sz="4" w:space="0"/>
            </w:tcBorders>
            <w:vAlign w:val="center"/>
          </w:tcPr>
          <w:p w14:paraId="73C37BAF">
            <w:pPr>
              <w:pStyle w:val="25"/>
              <w:numPr>
                <w:ilvl w:val="0"/>
                <w:numId w:val="3"/>
              </w:numPr>
              <w:adjustRightInd w:val="0"/>
              <w:snapToGrid w:val="0"/>
              <w:spacing w:line="360" w:lineRule="auto"/>
              <w:jc w:val="center"/>
              <w:rPr>
                <w:rFonts w:cs="宋体" w:asciiTheme="minorEastAsia" w:hAnsiTheme="minorEastAsia" w:eastAsiaTheme="minorEastAsia"/>
                <w:szCs w:val="21"/>
              </w:rPr>
            </w:pPr>
          </w:p>
        </w:tc>
        <w:tc>
          <w:tcPr>
            <w:tcW w:w="639" w:type="pct"/>
            <w:vMerge w:val="restart"/>
            <w:tcBorders>
              <w:top w:val="single" w:color="auto" w:sz="4" w:space="0"/>
              <w:left w:val="single" w:color="auto" w:sz="4" w:space="0"/>
              <w:bottom w:val="single" w:color="auto" w:sz="4" w:space="0"/>
              <w:right w:val="single" w:color="auto" w:sz="4" w:space="0"/>
            </w:tcBorders>
            <w:vAlign w:val="center"/>
          </w:tcPr>
          <w:p w14:paraId="457ED101">
            <w:pPr>
              <w:pStyle w:val="25"/>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代理服务费</w:t>
            </w:r>
          </w:p>
        </w:tc>
        <w:tc>
          <w:tcPr>
            <w:tcW w:w="4021" w:type="pct"/>
            <w:tcBorders>
              <w:top w:val="single" w:color="auto" w:sz="4" w:space="0"/>
              <w:left w:val="single" w:color="auto" w:sz="4" w:space="0"/>
              <w:bottom w:val="single" w:color="auto" w:sz="4" w:space="0"/>
              <w:right w:val="single" w:color="auto" w:sz="4" w:space="0"/>
            </w:tcBorders>
            <w:vAlign w:val="center"/>
          </w:tcPr>
          <w:p w14:paraId="3AB515CA">
            <w:pPr>
              <w:spacing w:line="360" w:lineRule="auto"/>
              <w:rPr>
                <w:rFonts w:cs="宋体" w:asciiTheme="minorEastAsia" w:hAnsiTheme="minorEastAsia" w:eastAsiaTheme="minorEastAsia"/>
                <w:bCs/>
                <w:szCs w:val="21"/>
              </w:rPr>
            </w:pPr>
            <w:r>
              <w:rPr>
                <w:rFonts w:hint="eastAsia" w:cs="宋体" w:asciiTheme="minorEastAsia" w:hAnsiTheme="minorEastAsia" w:eastAsiaTheme="minorEastAsia"/>
                <w:bCs/>
                <w:szCs w:val="21"/>
              </w:rPr>
              <w:t>本项目由</w:t>
            </w:r>
            <w:r>
              <w:rPr>
                <w:rFonts w:hint="eastAsia" w:cs="宋体" w:asciiTheme="minorEastAsia" w:hAnsiTheme="minorEastAsia" w:eastAsiaTheme="minorEastAsia"/>
                <w:bCs/>
                <w:szCs w:val="21"/>
                <w:lang w:eastAsia="zh-CN"/>
              </w:rPr>
              <w:t>成交供应商</w:t>
            </w:r>
            <w:r>
              <w:rPr>
                <w:rFonts w:hint="eastAsia" w:cs="宋体" w:asciiTheme="minorEastAsia" w:hAnsiTheme="minorEastAsia" w:eastAsiaTheme="minorEastAsia"/>
                <w:bCs/>
                <w:szCs w:val="21"/>
              </w:rPr>
              <w:t>向</w:t>
            </w:r>
            <w:r>
              <w:rPr>
                <w:rFonts w:hint="eastAsia" w:cs="宋体" w:asciiTheme="minorEastAsia" w:hAnsiTheme="minorEastAsia" w:eastAsiaTheme="minorEastAsia"/>
                <w:bCs/>
                <w:szCs w:val="21"/>
                <w:lang w:eastAsia="zh-CN"/>
              </w:rPr>
              <w:t>遴选服务单位</w:t>
            </w:r>
            <w:r>
              <w:rPr>
                <w:rFonts w:hint="eastAsia" w:cs="宋体" w:asciiTheme="minorEastAsia" w:hAnsiTheme="minorEastAsia" w:eastAsiaTheme="minorEastAsia"/>
                <w:bCs/>
                <w:szCs w:val="21"/>
              </w:rPr>
              <w:t>支付代理服务费，收费标准根据《国家发展改革委关于进一步放开建设项目专业服务价格的通知》(发改价格〔2015〕299号</w:t>
            </w:r>
            <w:r>
              <w:rPr>
                <w:rFonts w:hint="eastAsia" w:cs="宋体" w:asciiTheme="minorEastAsia" w:hAnsiTheme="minorEastAsia" w:eastAsiaTheme="minorEastAsia"/>
                <w:bCs/>
                <w:szCs w:val="21"/>
                <w:lang w:eastAsia="zh-CN"/>
              </w:rPr>
              <w:t>）</w:t>
            </w:r>
            <w:r>
              <w:rPr>
                <w:rFonts w:hint="eastAsia" w:cs="宋体" w:asciiTheme="minorEastAsia" w:hAnsiTheme="minorEastAsia" w:eastAsiaTheme="minorEastAsia"/>
                <w:bCs/>
                <w:szCs w:val="21"/>
              </w:rPr>
              <w:t>的通知实行市场调节价</w:t>
            </w:r>
            <w:r>
              <w:rPr>
                <w:rFonts w:hint="eastAsia" w:cs="宋体" w:asciiTheme="minorEastAsia" w:hAnsiTheme="minorEastAsia" w:eastAsiaTheme="minorEastAsia"/>
                <w:bCs/>
                <w:szCs w:val="21"/>
                <w:lang w:eastAsia="zh-CN"/>
              </w:rPr>
              <w:t>，</w:t>
            </w:r>
            <w:r>
              <w:rPr>
                <w:rFonts w:hint="eastAsia" w:cs="宋体" w:asciiTheme="minorEastAsia" w:hAnsiTheme="minorEastAsia" w:eastAsiaTheme="minorEastAsia"/>
                <w:bCs/>
                <w:szCs w:val="21"/>
              </w:rPr>
              <w:t>以本项目预算金额作为计算基数，按差额定率累进法</w:t>
            </w:r>
            <w:r>
              <w:rPr>
                <w:rFonts w:hint="eastAsia" w:cs="宋体" w:asciiTheme="minorEastAsia" w:hAnsiTheme="minorEastAsia" w:eastAsiaTheme="minorEastAsia"/>
                <w:bCs/>
                <w:szCs w:val="21"/>
                <w:lang w:val="en-US" w:eastAsia="zh-CN"/>
              </w:rPr>
              <w:t>下浮20%</w:t>
            </w:r>
            <w:r>
              <w:rPr>
                <w:rFonts w:hint="eastAsia" w:cs="宋体" w:asciiTheme="minorEastAsia" w:hAnsiTheme="minorEastAsia" w:eastAsiaTheme="minorEastAsia"/>
                <w:bCs/>
                <w:szCs w:val="21"/>
              </w:rPr>
              <w:t>计算：金额在100万元（含）以下按1.</w:t>
            </w:r>
            <w:r>
              <w:rPr>
                <w:rFonts w:hint="eastAsia" w:cs="宋体" w:asciiTheme="minorEastAsia" w:hAnsiTheme="minorEastAsia" w:eastAsiaTheme="minorEastAsia"/>
                <w:bCs/>
                <w:szCs w:val="21"/>
                <w:lang w:val="en-US" w:eastAsia="zh-CN"/>
              </w:rPr>
              <w:t>0</w:t>
            </w:r>
            <w:r>
              <w:rPr>
                <w:rFonts w:cs="宋体" w:asciiTheme="minorEastAsia" w:hAnsiTheme="minorEastAsia" w:eastAsiaTheme="minorEastAsia"/>
                <w:bCs/>
                <w:szCs w:val="21"/>
              </w:rPr>
              <w:t>%</w:t>
            </w:r>
            <w:r>
              <w:rPr>
                <w:rFonts w:hint="eastAsia" w:cs="宋体" w:asciiTheme="minorEastAsia" w:hAnsiTheme="minorEastAsia" w:eastAsiaTheme="minorEastAsia"/>
                <w:bCs/>
                <w:szCs w:val="21"/>
              </w:rPr>
              <w:t>计算；金额在100万元-500万元（含）按0.7%计算。</w:t>
            </w:r>
          </w:p>
          <w:p w14:paraId="4E19E617">
            <w:pPr>
              <w:autoSpaceDE w:val="0"/>
              <w:autoSpaceDN w:val="0"/>
              <w:adjustRightInd w:val="0"/>
              <w:spacing w:line="360" w:lineRule="auto"/>
              <w:jc w:val="left"/>
              <w:rPr>
                <w:rFonts w:cs="宋体" w:asciiTheme="minorEastAsia" w:hAnsiTheme="minorEastAsia" w:eastAsiaTheme="minorEastAsia"/>
                <w:b/>
                <w:szCs w:val="21"/>
              </w:rPr>
            </w:pPr>
            <w:r>
              <w:rPr>
                <w:rFonts w:hint="eastAsia" w:cs="宋体" w:asciiTheme="minorEastAsia" w:hAnsiTheme="minorEastAsia" w:eastAsiaTheme="minorEastAsia"/>
                <w:b/>
                <w:bCs/>
                <w:szCs w:val="21"/>
              </w:rPr>
              <w:t>注：若本项目代理服务费按上述方式计算不足¥</w:t>
            </w:r>
            <w:r>
              <w:rPr>
                <w:rFonts w:hint="eastAsia" w:cs="宋体" w:asciiTheme="minorEastAsia" w:hAnsiTheme="minorEastAsia" w:eastAsiaTheme="minorEastAsia"/>
                <w:b/>
                <w:bCs/>
                <w:szCs w:val="21"/>
                <w:lang w:val="en-US" w:eastAsia="zh-CN"/>
              </w:rPr>
              <w:t>8</w:t>
            </w:r>
            <w:r>
              <w:rPr>
                <w:rFonts w:hint="eastAsia" w:cs="宋体" w:asciiTheme="minorEastAsia" w:hAnsiTheme="minorEastAsia" w:eastAsiaTheme="minorEastAsia"/>
                <w:b/>
                <w:bCs/>
                <w:szCs w:val="21"/>
              </w:rPr>
              <w:t>,000.00按¥</w:t>
            </w:r>
            <w:r>
              <w:rPr>
                <w:rFonts w:hint="eastAsia" w:cs="宋体" w:asciiTheme="minorEastAsia" w:hAnsiTheme="minorEastAsia" w:eastAsiaTheme="minorEastAsia"/>
                <w:b/>
                <w:bCs/>
                <w:szCs w:val="21"/>
                <w:lang w:val="en-US" w:eastAsia="zh-CN"/>
              </w:rPr>
              <w:t>8</w:t>
            </w:r>
            <w:r>
              <w:rPr>
                <w:rFonts w:hint="eastAsia" w:cs="宋体" w:asciiTheme="minorEastAsia" w:hAnsiTheme="minorEastAsia" w:eastAsiaTheme="minorEastAsia"/>
                <w:b/>
                <w:bCs/>
                <w:szCs w:val="21"/>
              </w:rPr>
              <w:t>,000.00收取。</w:t>
            </w:r>
          </w:p>
        </w:tc>
      </w:tr>
      <w:tr w14:paraId="5CF9D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 w:type="pct"/>
            <w:vMerge w:val="continue"/>
            <w:tcBorders>
              <w:left w:val="single" w:color="auto" w:sz="4" w:space="0"/>
              <w:bottom w:val="single" w:color="auto" w:sz="4" w:space="0"/>
              <w:right w:val="single" w:color="auto" w:sz="4" w:space="0"/>
            </w:tcBorders>
            <w:vAlign w:val="center"/>
          </w:tcPr>
          <w:p w14:paraId="32117B00">
            <w:pPr>
              <w:widowControl/>
              <w:numPr>
                <w:ilvl w:val="0"/>
                <w:numId w:val="3"/>
              </w:numPr>
              <w:spacing w:line="360" w:lineRule="auto"/>
              <w:jc w:val="center"/>
              <w:rPr>
                <w:rFonts w:cs="宋体" w:asciiTheme="minorEastAsia" w:hAnsiTheme="minorEastAsia" w:eastAsiaTheme="minorEastAsia"/>
                <w:szCs w:val="21"/>
              </w:rPr>
            </w:pPr>
          </w:p>
        </w:tc>
        <w:tc>
          <w:tcPr>
            <w:tcW w:w="639" w:type="pct"/>
            <w:vMerge w:val="continue"/>
            <w:tcBorders>
              <w:top w:val="single" w:color="auto" w:sz="4" w:space="0"/>
              <w:left w:val="single" w:color="auto" w:sz="4" w:space="0"/>
              <w:bottom w:val="single" w:color="auto" w:sz="4" w:space="0"/>
              <w:right w:val="single" w:color="auto" w:sz="4" w:space="0"/>
            </w:tcBorders>
            <w:vAlign w:val="center"/>
          </w:tcPr>
          <w:p w14:paraId="2C9E294F">
            <w:pPr>
              <w:widowControl/>
              <w:spacing w:line="360" w:lineRule="auto"/>
              <w:jc w:val="left"/>
              <w:rPr>
                <w:rFonts w:cs="宋体" w:asciiTheme="minorEastAsia" w:hAnsiTheme="minorEastAsia" w:eastAsiaTheme="minorEastAsia"/>
                <w:szCs w:val="21"/>
              </w:rPr>
            </w:pPr>
          </w:p>
        </w:tc>
        <w:tc>
          <w:tcPr>
            <w:tcW w:w="4021" w:type="pct"/>
            <w:tcBorders>
              <w:top w:val="single" w:color="auto" w:sz="4" w:space="0"/>
              <w:left w:val="single" w:color="auto" w:sz="4" w:space="0"/>
              <w:bottom w:val="single" w:color="auto" w:sz="4" w:space="0"/>
              <w:right w:val="single" w:color="auto" w:sz="4" w:space="0"/>
            </w:tcBorders>
            <w:vAlign w:val="center"/>
          </w:tcPr>
          <w:p w14:paraId="6E53E0BD">
            <w:pPr>
              <w:spacing w:line="360" w:lineRule="auto"/>
              <w:rPr>
                <w:rFonts w:cs="宋体" w:asciiTheme="minorEastAsia" w:hAnsiTheme="minorEastAsia" w:eastAsiaTheme="minorEastAsia"/>
                <w:bCs/>
                <w:szCs w:val="21"/>
              </w:rPr>
            </w:pPr>
            <w:r>
              <w:rPr>
                <w:rFonts w:hint="eastAsia" w:cs="宋体" w:asciiTheme="minorEastAsia" w:hAnsiTheme="minorEastAsia" w:eastAsiaTheme="minorEastAsia"/>
                <w:bCs/>
                <w:szCs w:val="21"/>
              </w:rPr>
              <w:t>收款单位：粤廉（广东）招标代理有限公司</w:t>
            </w:r>
          </w:p>
          <w:p w14:paraId="671AE969">
            <w:pPr>
              <w:spacing w:line="360" w:lineRule="auto"/>
              <w:rPr>
                <w:rFonts w:cs="宋体" w:asciiTheme="minorEastAsia" w:hAnsiTheme="minorEastAsia" w:eastAsiaTheme="minorEastAsia"/>
                <w:bCs/>
                <w:szCs w:val="21"/>
              </w:rPr>
            </w:pPr>
            <w:r>
              <w:rPr>
                <w:rFonts w:hint="eastAsia" w:cs="宋体" w:asciiTheme="minorEastAsia" w:hAnsiTheme="minorEastAsia" w:eastAsiaTheme="minorEastAsia"/>
                <w:bCs/>
                <w:szCs w:val="21"/>
              </w:rPr>
              <w:t>开户银行：中国农业银行股份有限公司广州智慧城支行</w:t>
            </w:r>
          </w:p>
          <w:p w14:paraId="4252A5A7">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bCs/>
                <w:szCs w:val="21"/>
              </w:rPr>
              <w:t>银行账号：</w:t>
            </w:r>
            <w:r>
              <w:rPr>
                <w:rFonts w:cs="宋体" w:asciiTheme="minorEastAsia" w:hAnsiTheme="minorEastAsia" w:eastAsiaTheme="minorEastAsia"/>
                <w:bCs/>
                <w:szCs w:val="21"/>
              </w:rPr>
              <w:t>4406 0801 0400 04812</w:t>
            </w:r>
            <w:r>
              <w:rPr>
                <w:rFonts w:hint="eastAsia" w:cs="宋体" w:asciiTheme="minorEastAsia" w:hAnsiTheme="minorEastAsia" w:eastAsiaTheme="minorEastAsia"/>
                <w:bCs/>
                <w:szCs w:val="21"/>
              </w:rPr>
              <w:t>（注明项目编号）</w:t>
            </w:r>
          </w:p>
        </w:tc>
      </w:tr>
      <w:tr w14:paraId="02D5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 w:type="pct"/>
            <w:tcBorders>
              <w:top w:val="single" w:color="auto" w:sz="4" w:space="0"/>
              <w:left w:val="single" w:color="auto" w:sz="4" w:space="0"/>
              <w:bottom w:val="single" w:color="auto" w:sz="4" w:space="0"/>
              <w:right w:val="single" w:color="auto" w:sz="4" w:space="0"/>
            </w:tcBorders>
            <w:vAlign w:val="center"/>
          </w:tcPr>
          <w:p w14:paraId="73D209F2">
            <w:pPr>
              <w:numPr>
                <w:ilvl w:val="0"/>
                <w:numId w:val="3"/>
              </w:numPr>
              <w:spacing w:line="360" w:lineRule="auto"/>
              <w:jc w:val="center"/>
              <w:rPr>
                <w:rFonts w:cs="宋体" w:asciiTheme="minorEastAsia" w:hAnsiTheme="minorEastAsia" w:eastAsiaTheme="minorEastAsia"/>
                <w:szCs w:val="21"/>
              </w:rPr>
            </w:pPr>
          </w:p>
        </w:tc>
        <w:tc>
          <w:tcPr>
            <w:tcW w:w="639" w:type="pct"/>
            <w:tcBorders>
              <w:top w:val="single" w:color="auto" w:sz="4" w:space="0"/>
              <w:left w:val="single" w:color="auto" w:sz="4" w:space="0"/>
              <w:bottom w:val="single" w:color="auto" w:sz="4" w:space="0"/>
              <w:right w:val="single" w:color="auto" w:sz="4" w:space="0"/>
            </w:tcBorders>
            <w:vAlign w:val="center"/>
          </w:tcPr>
          <w:p w14:paraId="2492AA08">
            <w:pPr>
              <w:pStyle w:val="25"/>
              <w:adjustRightInd w:val="0"/>
              <w:snapToGrid w:val="0"/>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解释权</w:t>
            </w:r>
          </w:p>
        </w:tc>
        <w:tc>
          <w:tcPr>
            <w:tcW w:w="4021" w:type="pct"/>
            <w:tcBorders>
              <w:top w:val="single" w:color="auto" w:sz="4" w:space="0"/>
              <w:left w:val="single" w:color="auto" w:sz="4" w:space="0"/>
              <w:bottom w:val="single" w:color="auto" w:sz="4" w:space="0"/>
              <w:right w:val="single" w:color="auto" w:sz="4" w:space="0"/>
            </w:tcBorders>
            <w:vAlign w:val="center"/>
          </w:tcPr>
          <w:p w14:paraId="338917AB">
            <w:pPr>
              <w:tabs>
                <w:tab w:val="left" w:pos="900"/>
              </w:tabs>
              <w:adjustRightInd w:val="0"/>
              <w:snapToGrid w:val="0"/>
              <w:spacing w:line="360" w:lineRule="auto"/>
              <w:rPr>
                <w:rFonts w:cs="宋体" w:asciiTheme="minorEastAsia" w:hAnsiTheme="minorEastAsia" w:eastAsiaTheme="minorEastAsia"/>
                <w:szCs w:val="21"/>
              </w:rPr>
            </w:pPr>
            <w:r>
              <w:rPr>
                <w:rFonts w:hint="eastAsia" w:asciiTheme="minorEastAsia" w:hAnsiTheme="minorEastAsia" w:eastAsiaTheme="minorEastAsia"/>
                <w:szCs w:val="21"/>
              </w:rPr>
              <w:t>本</w:t>
            </w:r>
            <w:r>
              <w:rPr>
                <w:rFonts w:hint="eastAsia" w:asciiTheme="minorEastAsia" w:hAnsiTheme="minorEastAsia" w:eastAsiaTheme="minorEastAsia"/>
                <w:szCs w:val="21"/>
                <w:lang w:eastAsia="zh-CN"/>
              </w:rPr>
              <w:t>遴选文件</w:t>
            </w:r>
            <w:r>
              <w:rPr>
                <w:rFonts w:hint="eastAsia" w:asciiTheme="minorEastAsia" w:hAnsiTheme="minorEastAsia" w:eastAsiaTheme="minorEastAsia"/>
                <w:szCs w:val="21"/>
              </w:rPr>
              <w:t>的解释权归“粤廉（广东）招标代理有限公司”所有。</w:t>
            </w:r>
          </w:p>
        </w:tc>
      </w:tr>
    </w:tbl>
    <w:p w14:paraId="3E7AE944"/>
    <w:p w14:paraId="3A5B0426">
      <w:pPr>
        <w:widowControl/>
        <w:jc w:val="left"/>
        <w:rPr>
          <w:b/>
          <w:sz w:val="24"/>
        </w:rPr>
      </w:pPr>
      <w:bookmarkStart w:id="130" w:name="_Toc490033944"/>
      <w:bookmarkStart w:id="131" w:name="_Toc55911455"/>
      <w:bookmarkStart w:id="132" w:name="_Toc488321012"/>
      <w:bookmarkStart w:id="133" w:name="_Toc498079509"/>
      <w:bookmarkStart w:id="134" w:name="_Toc499278243"/>
      <w:bookmarkStart w:id="135" w:name="_Toc298920088"/>
      <w:bookmarkStart w:id="136" w:name="_Toc496123811"/>
      <w:bookmarkStart w:id="137" w:name="_Toc418023329"/>
      <w:bookmarkStart w:id="138" w:name="_Toc364846096"/>
      <w:bookmarkStart w:id="139" w:name="_Toc503169231"/>
      <w:bookmarkStart w:id="140" w:name="_Toc438722126"/>
      <w:bookmarkStart w:id="141" w:name="_Toc482255066"/>
      <w:bookmarkStart w:id="142" w:name="_Toc51416497"/>
      <w:bookmarkStart w:id="143" w:name="_Toc498265664"/>
      <w:bookmarkStart w:id="144" w:name="_Toc514163551"/>
      <w:bookmarkStart w:id="145" w:name="_Toc297209415"/>
      <w:bookmarkStart w:id="146" w:name="_Toc51416820"/>
      <w:bookmarkStart w:id="147" w:name="_Toc447099502"/>
      <w:bookmarkStart w:id="148" w:name="_Toc416208482"/>
      <w:bookmarkStart w:id="149" w:name="_Toc496096017"/>
      <w:bookmarkStart w:id="150" w:name="_Toc513652299"/>
      <w:bookmarkStart w:id="151" w:name="_Toc365033702"/>
      <w:bookmarkStart w:id="152" w:name="_Toc479343963"/>
      <w:bookmarkStart w:id="153" w:name="_Toc489974537"/>
      <w:bookmarkStart w:id="154" w:name="_Toc447233579"/>
      <w:bookmarkStart w:id="155" w:name="_Toc11921986"/>
      <w:bookmarkStart w:id="156" w:name="_Toc298829716"/>
      <w:bookmarkStart w:id="157" w:name="_Toc422161988"/>
      <w:bookmarkStart w:id="158" w:name="_Toc69828211"/>
      <w:bookmarkStart w:id="159" w:name="_Toc71878578"/>
      <w:bookmarkStart w:id="160" w:name="_Toc477807574"/>
      <w:bookmarkStart w:id="161" w:name="_Toc30014"/>
      <w:bookmarkStart w:id="162" w:name="_Toc475805889"/>
      <w:bookmarkStart w:id="163" w:name="_Toc78274949"/>
      <w:bookmarkStart w:id="164" w:name="_Toc356489049"/>
      <w:bookmarkStart w:id="165" w:name="_Toc26600"/>
      <w:bookmarkStart w:id="166" w:name="_Toc425347658"/>
      <w:bookmarkStart w:id="167" w:name="_Toc435629788"/>
      <w:bookmarkStart w:id="168" w:name="_Toc49082409"/>
      <w:bookmarkStart w:id="169" w:name="_Toc468456993"/>
      <w:bookmarkStart w:id="170" w:name="_Toc488422442"/>
      <w:bookmarkStart w:id="171" w:name="_Toc487101001"/>
      <w:bookmarkStart w:id="172" w:name="_Toc439679264"/>
      <w:bookmarkStart w:id="173" w:name="_Toc65680698"/>
      <w:bookmarkStart w:id="174" w:name="_Toc515971184"/>
      <w:bookmarkStart w:id="175" w:name="_Toc51778258"/>
      <w:bookmarkStart w:id="176" w:name="_Toc298190380"/>
      <w:bookmarkStart w:id="177" w:name="_Toc77781847"/>
      <w:bookmarkStart w:id="178" w:name="_Toc475804832"/>
      <w:bookmarkStart w:id="179" w:name="_Toc27505"/>
      <w:bookmarkStart w:id="180" w:name="_Toc435623750"/>
      <w:bookmarkStart w:id="181" w:name="_Toc468450942"/>
      <w:bookmarkStart w:id="182" w:name="_Toc435686976"/>
      <w:bookmarkStart w:id="183" w:name="_Toc422865417"/>
      <w:bookmarkStart w:id="184" w:name="_Toc435687271"/>
      <w:bookmarkStart w:id="185" w:name="_Toc504062509"/>
      <w:bookmarkStart w:id="186" w:name="_Toc477691923"/>
      <w:bookmarkStart w:id="187" w:name="_Toc496045523"/>
      <w:bookmarkStart w:id="188" w:name="_Toc66020750"/>
      <w:bookmarkStart w:id="189" w:name="_Toc80869722"/>
      <w:bookmarkStart w:id="190" w:name="_Toc446661213"/>
      <w:bookmarkStart w:id="191" w:name="_Toc482365826"/>
      <w:bookmarkStart w:id="192" w:name="_Toc343857022"/>
      <w:bookmarkStart w:id="193" w:name="_Toc299108386"/>
      <w:bookmarkStart w:id="194" w:name="_Toc55671076"/>
      <w:bookmarkStart w:id="195" w:name="_Toc445809736"/>
      <w:bookmarkStart w:id="196" w:name="_Toc82692160"/>
      <w:bookmarkStart w:id="197" w:name="_Toc504122245"/>
      <w:bookmarkStart w:id="198" w:name="_Toc380533806"/>
      <w:bookmarkStart w:id="199" w:name="_Toc435629834"/>
      <w:bookmarkStart w:id="200" w:name="_Toc414510776"/>
      <w:bookmarkStart w:id="201" w:name="_Toc498978619"/>
      <w:bookmarkStart w:id="202" w:name="_Toc489892958"/>
      <w:bookmarkStart w:id="203" w:name="_Toc438641461"/>
      <w:bookmarkStart w:id="204" w:name="_Toc435687345"/>
      <w:bookmarkStart w:id="205" w:name="_Toc438508593"/>
      <w:bookmarkStart w:id="206" w:name="_Toc482195754"/>
      <w:bookmarkStart w:id="207" w:name="_Toc383124044"/>
      <w:bookmarkStart w:id="208" w:name="_Toc75028758"/>
      <w:bookmarkStart w:id="209" w:name="_Toc78444593"/>
      <w:bookmarkStart w:id="210" w:name="_Toc91288828"/>
      <w:bookmarkStart w:id="211" w:name="_Toc55745641"/>
      <w:bookmarkStart w:id="212" w:name="_Toc439513441"/>
      <w:bookmarkStart w:id="213" w:name="_Toc82445234"/>
      <w:bookmarkStart w:id="214" w:name="_Toc24471615"/>
      <w:bookmarkStart w:id="215" w:name="_Toc49135195"/>
      <w:bookmarkStart w:id="216" w:name="_Toc90148884"/>
      <w:bookmarkStart w:id="217" w:name="_Toc438513730"/>
      <w:bookmarkStart w:id="218" w:name="_Toc298829957"/>
      <w:bookmarkStart w:id="219" w:name="_Toc504741241"/>
      <w:bookmarkStart w:id="220" w:name="_Toc350417820"/>
      <w:bookmarkStart w:id="221" w:name="_Toc439513157"/>
      <w:r>
        <w:rPr>
          <w:b/>
          <w:sz w:val="24"/>
        </w:rPr>
        <w:br w:type="page"/>
      </w:r>
    </w:p>
    <w:p w14:paraId="5512282B">
      <w:pPr>
        <w:spacing w:line="360" w:lineRule="auto"/>
        <w:jc w:val="left"/>
        <w:rPr>
          <w:b/>
          <w:sz w:val="24"/>
        </w:rPr>
      </w:pPr>
      <w:r>
        <w:rPr>
          <w:rFonts w:hint="eastAsia"/>
          <w:b/>
          <w:sz w:val="24"/>
        </w:rPr>
        <w:t>一、说明</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57D63264">
      <w:pPr>
        <w:spacing w:line="360" w:lineRule="auto"/>
        <w:ind w:firstLine="482" w:firstLineChars="200"/>
        <w:rPr>
          <w:rFonts w:ascii="宋体" w:hAnsi="宋体"/>
          <w:b/>
          <w:sz w:val="24"/>
        </w:rPr>
      </w:pPr>
      <w:bookmarkStart w:id="222" w:name="_Toc91288830"/>
      <w:bookmarkStart w:id="223" w:name="_Toc90148887"/>
      <w:bookmarkStart w:id="224" w:name="_Toc264616632"/>
      <w:r>
        <w:rPr>
          <w:rFonts w:hint="eastAsia" w:ascii="宋体" w:hAnsi="宋体"/>
          <w:b/>
          <w:sz w:val="24"/>
        </w:rPr>
        <w:t>1.合格的货物和服务</w:t>
      </w:r>
      <w:bookmarkEnd w:id="222"/>
      <w:bookmarkEnd w:id="223"/>
      <w:bookmarkEnd w:id="224"/>
    </w:p>
    <w:p w14:paraId="67FCF823">
      <w:pPr>
        <w:tabs>
          <w:tab w:val="left" w:pos="425"/>
          <w:tab w:val="left" w:pos="567"/>
        </w:tabs>
        <w:spacing w:line="360" w:lineRule="auto"/>
        <w:ind w:firstLine="480" w:firstLineChars="200"/>
        <w:rPr>
          <w:rFonts w:ascii="宋体" w:hAnsi="宋体"/>
          <w:sz w:val="24"/>
        </w:rPr>
      </w:pPr>
      <w:r>
        <w:rPr>
          <w:rFonts w:hint="eastAsia" w:ascii="宋体" w:hAnsi="宋体"/>
          <w:sz w:val="24"/>
        </w:rPr>
        <w:t>1.1</w:t>
      </w:r>
      <w:r>
        <w:rPr>
          <w:rFonts w:hint="eastAsia" w:ascii="宋体" w:hAnsi="宋体"/>
          <w:sz w:val="24"/>
          <w:lang w:eastAsia="zh-CN"/>
        </w:rPr>
        <w:t>响应供应商</w:t>
      </w:r>
      <w:r>
        <w:rPr>
          <w:rFonts w:ascii="宋体" w:hAnsi="宋体"/>
          <w:sz w:val="24"/>
        </w:rPr>
        <w:t>提供的所有货物及服务，其来源地均应为中华人民共和国或与中华人民共和国有官方贸易关系的国家或地区</w:t>
      </w:r>
      <w:r>
        <w:rPr>
          <w:rFonts w:hint="eastAsia" w:ascii="宋体" w:hAnsi="宋体"/>
          <w:sz w:val="24"/>
        </w:rPr>
        <w:t>，</w:t>
      </w:r>
      <w:r>
        <w:rPr>
          <w:rFonts w:ascii="宋体" w:hAnsi="宋体"/>
          <w:sz w:val="24"/>
        </w:rPr>
        <w:t>且符合国家、行业现行的标准及采购人需求。</w:t>
      </w:r>
    </w:p>
    <w:p w14:paraId="68A576CD">
      <w:pPr>
        <w:tabs>
          <w:tab w:val="left" w:pos="425"/>
          <w:tab w:val="left" w:pos="567"/>
        </w:tabs>
        <w:spacing w:line="360" w:lineRule="auto"/>
        <w:ind w:firstLine="480" w:firstLineChars="200"/>
        <w:rPr>
          <w:rFonts w:ascii="宋体" w:hAnsi="宋体"/>
          <w:sz w:val="24"/>
        </w:rPr>
      </w:pPr>
      <w:r>
        <w:rPr>
          <w:rFonts w:hint="eastAsia" w:ascii="宋体" w:hAnsi="宋体"/>
          <w:sz w:val="24"/>
        </w:rPr>
        <w:t>1.2</w:t>
      </w:r>
      <w:r>
        <w:rPr>
          <w:rFonts w:ascii="宋体" w:hAnsi="宋体"/>
          <w:sz w:val="24"/>
        </w:rPr>
        <w:t>采购人将拒绝接受不合格的货物和服务，由此产生的费用及相关后果均由</w:t>
      </w:r>
      <w:r>
        <w:rPr>
          <w:rFonts w:hint="eastAsia" w:ascii="宋体" w:hAnsi="宋体"/>
          <w:sz w:val="24"/>
          <w:lang w:eastAsia="zh-CN"/>
        </w:rPr>
        <w:t>响应供应商</w:t>
      </w:r>
      <w:r>
        <w:rPr>
          <w:rFonts w:ascii="宋体" w:hAnsi="宋体"/>
          <w:sz w:val="24"/>
        </w:rPr>
        <w:t>自行承担。</w:t>
      </w:r>
    </w:p>
    <w:p w14:paraId="275E2479">
      <w:pPr>
        <w:spacing w:line="360" w:lineRule="auto"/>
        <w:ind w:firstLine="482" w:firstLineChars="200"/>
        <w:rPr>
          <w:rFonts w:ascii="宋体" w:hAnsi="宋体"/>
          <w:b/>
          <w:sz w:val="24"/>
        </w:rPr>
      </w:pPr>
      <w:bookmarkStart w:id="225" w:name="_Toc90148888"/>
      <w:bookmarkStart w:id="226" w:name="_Toc91288831"/>
      <w:bookmarkStart w:id="227" w:name="_Toc264616637"/>
      <w:r>
        <w:rPr>
          <w:rFonts w:hint="eastAsia" w:ascii="宋体" w:hAnsi="宋体"/>
          <w:b/>
          <w:sz w:val="24"/>
        </w:rPr>
        <w:t>2.不得参与同一采购项目竞争的</w:t>
      </w:r>
      <w:bookmarkEnd w:id="225"/>
      <w:bookmarkEnd w:id="226"/>
      <w:bookmarkEnd w:id="227"/>
      <w:r>
        <w:rPr>
          <w:rFonts w:hint="eastAsia" w:ascii="宋体" w:hAnsi="宋体"/>
          <w:b/>
          <w:sz w:val="24"/>
          <w:lang w:eastAsia="zh-CN"/>
        </w:rPr>
        <w:t>响应供应商</w:t>
      </w:r>
      <w:r>
        <w:rPr>
          <w:rFonts w:hint="eastAsia" w:ascii="宋体" w:hAnsi="宋体"/>
          <w:b/>
          <w:sz w:val="24"/>
        </w:rPr>
        <w:t>。</w:t>
      </w:r>
    </w:p>
    <w:p w14:paraId="7067C702">
      <w:pPr>
        <w:tabs>
          <w:tab w:val="left" w:pos="425"/>
          <w:tab w:val="left" w:pos="567"/>
        </w:tabs>
        <w:spacing w:line="360" w:lineRule="auto"/>
        <w:ind w:firstLine="480" w:firstLineChars="200"/>
        <w:rPr>
          <w:rFonts w:ascii="宋体" w:hAnsi="宋体"/>
          <w:sz w:val="24"/>
        </w:rPr>
      </w:pPr>
      <w:r>
        <w:rPr>
          <w:rFonts w:hint="eastAsia" w:ascii="宋体" w:hAnsi="宋体"/>
          <w:sz w:val="24"/>
        </w:rPr>
        <w:t>彼此存在投资与被投资关系的；彼此的经营者、董事会（或同类管理机构）成员属于直系亲属或配偶关系的；法定代表人为同一个人的两个及两个以上法人，不得同时参加同一项目的</w:t>
      </w:r>
      <w:r>
        <w:rPr>
          <w:rFonts w:hint="eastAsia" w:ascii="宋体" w:hAnsi="宋体"/>
          <w:sz w:val="24"/>
          <w:lang w:eastAsia="zh-CN"/>
        </w:rPr>
        <w:t>响应</w:t>
      </w:r>
      <w:r>
        <w:rPr>
          <w:rFonts w:hint="eastAsia" w:ascii="宋体" w:hAnsi="宋体"/>
          <w:sz w:val="24"/>
        </w:rPr>
        <w:t>。</w:t>
      </w:r>
    </w:p>
    <w:p w14:paraId="63C55DAD">
      <w:pPr>
        <w:spacing w:line="360" w:lineRule="auto"/>
        <w:ind w:firstLine="482" w:firstLineChars="200"/>
        <w:rPr>
          <w:rFonts w:ascii="宋体" w:hAnsi="宋体"/>
          <w:b/>
          <w:sz w:val="24"/>
        </w:rPr>
      </w:pPr>
      <w:bookmarkStart w:id="228" w:name="_Toc91288832"/>
      <w:bookmarkStart w:id="229" w:name="_Toc90148889"/>
      <w:bookmarkStart w:id="230" w:name="_Toc264616638"/>
      <w:r>
        <w:rPr>
          <w:rFonts w:hint="eastAsia" w:ascii="宋体" w:hAnsi="宋体"/>
          <w:b/>
          <w:sz w:val="24"/>
        </w:rPr>
        <w:t>3.关于</w:t>
      </w:r>
      <w:r>
        <w:rPr>
          <w:rFonts w:hint="eastAsia" w:ascii="宋体" w:hAnsi="宋体"/>
          <w:b/>
          <w:sz w:val="24"/>
          <w:lang w:eastAsia="zh-CN"/>
        </w:rPr>
        <w:t>响应</w:t>
      </w:r>
      <w:r>
        <w:rPr>
          <w:rFonts w:hint="eastAsia" w:ascii="宋体" w:hAnsi="宋体"/>
          <w:b/>
          <w:sz w:val="24"/>
        </w:rPr>
        <w:t>费用</w:t>
      </w:r>
      <w:bookmarkEnd w:id="228"/>
      <w:bookmarkEnd w:id="229"/>
    </w:p>
    <w:p w14:paraId="015AB86B">
      <w:pPr>
        <w:spacing w:line="360" w:lineRule="auto"/>
        <w:ind w:firstLine="480" w:firstLineChars="200"/>
        <w:rPr>
          <w:rFonts w:ascii="宋体" w:hAnsi="宋体"/>
          <w:bCs/>
          <w:sz w:val="24"/>
        </w:rPr>
      </w:pPr>
      <w:r>
        <w:rPr>
          <w:rFonts w:hint="eastAsia" w:ascii="宋体" w:hAnsi="宋体"/>
          <w:bCs/>
          <w:sz w:val="24"/>
          <w:lang w:eastAsia="zh-CN"/>
        </w:rPr>
        <w:t>响应供应商</w:t>
      </w:r>
      <w:r>
        <w:rPr>
          <w:rFonts w:hint="eastAsia" w:ascii="宋体" w:hAnsi="宋体"/>
          <w:bCs/>
          <w:sz w:val="24"/>
        </w:rPr>
        <w:t>应承担所有与其参加</w:t>
      </w:r>
      <w:r>
        <w:rPr>
          <w:rFonts w:hint="eastAsia" w:ascii="宋体" w:hAnsi="宋体"/>
          <w:bCs/>
          <w:sz w:val="24"/>
          <w:lang w:eastAsia="zh-CN"/>
        </w:rPr>
        <w:t>响应</w:t>
      </w:r>
      <w:r>
        <w:rPr>
          <w:rFonts w:hint="eastAsia" w:ascii="宋体" w:hAnsi="宋体"/>
          <w:bCs/>
          <w:sz w:val="24"/>
        </w:rPr>
        <w:t>有关的全部费用。</w:t>
      </w:r>
    </w:p>
    <w:p w14:paraId="6A16E570">
      <w:pPr>
        <w:spacing w:line="360" w:lineRule="auto"/>
        <w:ind w:firstLine="482" w:firstLineChars="200"/>
        <w:rPr>
          <w:rFonts w:ascii="宋体" w:hAnsi="宋体"/>
          <w:b/>
          <w:sz w:val="24"/>
        </w:rPr>
      </w:pPr>
      <w:bookmarkStart w:id="231" w:name="_Toc91288833"/>
      <w:bookmarkStart w:id="232" w:name="_Toc90148891"/>
      <w:r>
        <w:rPr>
          <w:rFonts w:hint="eastAsia" w:ascii="宋体" w:hAnsi="宋体"/>
          <w:b/>
          <w:sz w:val="24"/>
          <w:lang w:val="en-US" w:eastAsia="zh-CN"/>
        </w:rPr>
        <w:t>4</w:t>
      </w:r>
      <w:r>
        <w:rPr>
          <w:rFonts w:hint="eastAsia" w:ascii="宋体" w:hAnsi="宋体"/>
          <w:b/>
          <w:sz w:val="24"/>
        </w:rPr>
        <w:t>.通知</w:t>
      </w:r>
      <w:bookmarkEnd w:id="230"/>
      <w:bookmarkEnd w:id="231"/>
      <w:bookmarkEnd w:id="232"/>
    </w:p>
    <w:p w14:paraId="364C0D10">
      <w:pPr>
        <w:tabs>
          <w:tab w:val="left" w:pos="900"/>
        </w:tabs>
        <w:adjustRightInd w:val="0"/>
        <w:snapToGrid w:val="0"/>
        <w:spacing w:line="360" w:lineRule="auto"/>
        <w:ind w:firstLine="480" w:firstLineChars="200"/>
        <w:rPr>
          <w:sz w:val="24"/>
        </w:rPr>
      </w:pPr>
      <w:r>
        <w:rPr>
          <w:rFonts w:hint="eastAsia"/>
          <w:sz w:val="24"/>
        </w:rPr>
        <w:t>对与本项目有关的通知，</w:t>
      </w:r>
      <w:r>
        <w:rPr>
          <w:rFonts w:hint="eastAsia" w:ascii="宋体" w:hAnsi="宋体"/>
          <w:sz w:val="24"/>
          <w:lang w:eastAsia="zh-CN"/>
        </w:rPr>
        <w:t>遴选服务单位</w:t>
      </w:r>
      <w:r>
        <w:rPr>
          <w:rFonts w:hint="eastAsia"/>
          <w:sz w:val="24"/>
        </w:rPr>
        <w:t>将以书面或在本次</w:t>
      </w:r>
      <w:r>
        <w:rPr>
          <w:rFonts w:hint="eastAsia"/>
          <w:sz w:val="24"/>
          <w:lang w:eastAsia="zh-CN"/>
        </w:rPr>
        <w:t>遴选公告</w:t>
      </w:r>
      <w:r>
        <w:rPr>
          <w:rFonts w:hint="eastAsia"/>
          <w:sz w:val="24"/>
        </w:rPr>
        <w:t>刊登的媒体上以发布公告的形式，送达所有与通知有关的已领取了</w:t>
      </w:r>
      <w:r>
        <w:rPr>
          <w:rFonts w:hint="eastAsia" w:ascii="宋体" w:hAnsi="宋体" w:cs="宋体"/>
          <w:sz w:val="24"/>
          <w:lang w:eastAsia="zh-CN"/>
        </w:rPr>
        <w:t>遴选文件</w:t>
      </w:r>
      <w:r>
        <w:rPr>
          <w:rFonts w:hint="eastAsia"/>
          <w:sz w:val="24"/>
        </w:rPr>
        <w:t>的</w:t>
      </w:r>
      <w:r>
        <w:rPr>
          <w:rFonts w:hint="eastAsia" w:ascii="宋体" w:hAnsi="宋体" w:cs="宋体"/>
          <w:sz w:val="24"/>
          <w:lang w:eastAsia="zh-CN"/>
        </w:rPr>
        <w:t>响应供应商</w:t>
      </w:r>
      <w:r>
        <w:rPr>
          <w:rFonts w:hint="eastAsia"/>
          <w:sz w:val="24"/>
        </w:rPr>
        <w:t>，</w:t>
      </w:r>
      <w:r>
        <w:rPr>
          <w:rFonts w:hint="eastAsia"/>
          <w:sz w:val="24"/>
          <w:lang w:eastAsia="zh-CN"/>
        </w:rPr>
        <w:t>响应供应商</w:t>
      </w:r>
      <w:r>
        <w:rPr>
          <w:rFonts w:hint="eastAsia"/>
          <w:sz w:val="24"/>
        </w:rPr>
        <w:t>应以书面方式予以回复确认。因</w:t>
      </w:r>
      <w:r>
        <w:rPr>
          <w:rFonts w:hint="eastAsia"/>
          <w:sz w:val="24"/>
          <w:lang w:eastAsia="zh-CN"/>
        </w:rPr>
        <w:t>响应供应商</w:t>
      </w:r>
      <w:r>
        <w:rPr>
          <w:rFonts w:hint="eastAsia"/>
          <w:sz w:val="24"/>
        </w:rPr>
        <w:t>登记原因或</w:t>
      </w:r>
      <w:r>
        <w:rPr>
          <w:rFonts w:hint="eastAsia" w:ascii="宋体" w:hAnsi="宋体"/>
          <w:sz w:val="24"/>
        </w:rPr>
        <w:t>其它任何意外情形，</w:t>
      </w:r>
      <w:r>
        <w:rPr>
          <w:rFonts w:hint="eastAsia"/>
          <w:sz w:val="24"/>
        </w:rPr>
        <w:t>导致</w:t>
      </w:r>
      <w:r>
        <w:rPr>
          <w:rFonts w:hint="eastAsia" w:ascii="宋体" w:hAnsi="宋体"/>
          <w:sz w:val="24"/>
        </w:rPr>
        <w:t>所发出的</w:t>
      </w:r>
      <w:r>
        <w:rPr>
          <w:rFonts w:hint="eastAsia"/>
          <w:sz w:val="24"/>
        </w:rPr>
        <w:t>通知延迟送达或无法送达</w:t>
      </w:r>
      <w:r>
        <w:rPr>
          <w:rFonts w:hint="eastAsia"/>
          <w:sz w:val="24"/>
          <w:lang w:eastAsia="zh-CN"/>
        </w:rPr>
        <w:t>响应供应商</w:t>
      </w:r>
      <w:r>
        <w:rPr>
          <w:rFonts w:hint="eastAsia"/>
          <w:sz w:val="24"/>
        </w:rPr>
        <w:t>，</w:t>
      </w:r>
      <w:r>
        <w:rPr>
          <w:rFonts w:hint="eastAsia" w:ascii="宋体" w:hAnsi="宋体"/>
          <w:sz w:val="24"/>
          <w:lang w:eastAsia="zh-CN"/>
        </w:rPr>
        <w:t>遴选服务单位</w:t>
      </w:r>
      <w:r>
        <w:rPr>
          <w:rFonts w:hint="eastAsia"/>
          <w:sz w:val="24"/>
        </w:rPr>
        <w:t>不承担责任。</w:t>
      </w:r>
    </w:p>
    <w:p w14:paraId="56CB3EC5">
      <w:pPr>
        <w:spacing w:line="360" w:lineRule="auto"/>
        <w:jc w:val="left"/>
        <w:rPr>
          <w:rFonts w:hint="eastAsia" w:eastAsia="宋体"/>
          <w:b/>
          <w:sz w:val="24"/>
          <w:lang w:eastAsia="zh-CN"/>
        </w:rPr>
      </w:pPr>
      <w:bookmarkStart w:id="233" w:name="_Toc71878579"/>
      <w:bookmarkStart w:id="234" w:name="_Toc298829958"/>
      <w:bookmarkStart w:id="235" w:name="_Toc498978620"/>
      <w:bookmarkStart w:id="236" w:name="_Toc447099503"/>
      <w:bookmarkStart w:id="237" w:name="_Toc416208483"/>
      <w:bookmarkStart w:id="238" w:name="_Toc504062510"/>
      <w:bookmarkStart w:id="239" w:name="_Toc515971185"/>
      <w:bookmarkStart w:id="240" w:name="_Toc438513731"/>
      <w:bookmarkStart w:id="241" w:name="_Toc435629835"/>
      <w:bookmarkStart w:id="242" w:name="_Toc475804833"/>
      <w:bookmarkStart w:id="243" w:name="_Toc380533807"/>
      <w:bookmarkStart w:id="244" w:name="_Toc365033703"/>
      <w:bookmarkStart w:id="245" w:name="_Toc482195755"/>
      <w:bookmarkStart w:id="246" w:name="_Toc82445235"/>
      <w:bookmarkStart w:id="247" w:name="_Toc55671077"/>
      <w:bookmarkStart w:id="248" w:name="_Toc90148892"/>
      <w:bookmarkStart w:id="249" w:name="_Toc435629789"/>
      <w:bookmarkStart w:id="250" w:name="_Toc435687272"/>
      <w:bookmarkStart w:id="251" w:name="_Toc299108387"/>
      <w:bookmarkStart w:id="252" w:name="_Toc9884"/>
      <w:bookmarkStart w:id="253" w:name="_Toc80869723"/>
      <w:bookmarkStart w:id="254" w:name="_Toc439513442"/>
      <w:bookmarkStart w:id="255" w:name="_Toc438508594"/>
      <w:bookmarkStart w:id="256" w:name="_Toc298829717"/>
      <w:bookmarkStart w:id="257" w:name="_Toc24471616"/>
      <w:bookmarkStart w:id="258" w:name="_Toc298920089"/>
      <w:bookmarkStart w:id="259" w:name="_Toc356489050"/>
      <w:bookmarkStart w:id="260" w:name="_Toc496123812"/>
      <w:bookmarkStart w:id="261" w:name="_Toc438641462"/>
      <w:bookmarkStart w:id="262" w:name="_Toc487101002"/>
      <w:bookmarkStart w:id="263" w:name="_Toc49135196"/>
      <w:bookmarkStart w:id="264" w:name="_Toc75028759"/>
      <w:bookmarkStart w:id="265" w:name="_Toc496045524"/>
      <w:bookmarkStart w:id="266" w:name="_Toc498079510"/>
      <w:bookmarkStart w:id="267" w:name="_Toc439679265"/>
      <w:bookmarkStart w:id="268" w:name="_Toc498265665"/>
      <w:bookmarkStart w:id="269" w:name="_Toc65680699"/>
      <w:bookmarkStart w:id="270" w:name="_Toc477691924"/>
      <w:bookmarkStart w:id="271" w:name="_Toc297209416"/>
      <w:bookmarkStart w:id="272" w:name="_Toc445809737"/>
      <w:bookmarkStart w:id="273" w:name="_Toc503169232"/>
      <w:bookmarkStart w:id="274" w:name="_Toc55745642"/>
      <w:bookmarkStart w:id="275" w:name="_Toc422865418"/>
      <w:bookmarkStart w:id="276" w:name="_Toc82692161"/>
      <w:bookmarkStart w:id="277" w:name="_Toc51778259"/>
      <w:bookmarkStart w:id="278" w:name="_Toc77781848"/>
      <w:bookmarkStart w:id="279" w:name="_Toc11921987"/>
      <w:bookmarkStart w:id="280" w:name="_Toc383124045"/>
      <w:bookmarkStart w:id="281" w:name="_Toc343857023"/>
      <w:bookmarkStart w:id="282" w:name="_Toc488422443"/>
      <w:bookmarkStart w:id="283" w:name="_Toc504741242"/>
      <w:bookmarkStart w:id="284" w:name="_Toc418023330"/>
      <w:bookmarkStart w:id="285" w:name="_Toc489974538"/>
      <w:bookmarkStart w:id="286" w:name="_Toc30981"/>
      <w:bookmarkStart w:id="287" w:name="_Toc14542"/>
      <w:bookmarkStart w:id="288" w:name="_Toc513652300"/>
      <w:bookmarkStart w:id="289" w:name="_Toc435623751"/>
      <w:bookmarkStart w:id="290" w:name="_Toc514163552"/>
      <w:bookmarkStart w:id="291" w:name="_Toc447233580"/>
      <w:bookmarkStart w:id="292" w:name="_Toc49082410"/>
      <w:bookmarkStart w:id="293" w:name="_Toc490033945"/>
      <w:bookmarkStart w:id="294" w:name="_Toc439513158"/>
      <w:bookmarkStart w:id="295" w:name="_Toc51416498"/>
      <w:bookmarkStart w:id="296" w:name="_Toc298190381"/>
      <w:bookmarkStart w:id="297" w:name="_Toc425347659"/>
      <w:bookmarkStart w:id="298" w:name="_Toc78444594"/>
      <w:bookmarkStart w:id="299" w:name="_Toc364846097"/>
      <w:bookmarkStart w:id="300" w:name="_Toc350417821"/>
      <w:bookmarkStart w:id="301" w:name="_Toc482365827"/>
      <w:bookmarkStart w:id="302" w:name="_Toc435687346"/>
      <w:bookmarkStart w:id="303" w:name="_Toc69828212"/>
      <w:bookmarkStart w:id="304" w:name="_Toc504122246"/>
      <w:bookmarkStart w:id="305" w:name="_Toc55911456"/>
      <w:bookmarkStart w:id="306" w:name="_Toc475805890"/>
      <w:bookmarkStart w:id="307" w:name="_Toc435686977"/>
      <w:bookmarkStart w:id="308" w:name="_Toc422161989"/>
      <w:bookmarkStart w:id="309" w:name="_Toc468456994"/>
      <w:bookmarkStart w:id="310" w:name="_Toc499278244"/>
      <w:bookmarkStart w:id="311" w:name="_Toc488321013"/>
      <w:bookmarkStart w:id="312" w:name="_Toc51416821"/>
      <w:bookmarkStart w:id="313" w:name="_Toc468450943"/>
      <w:bookmarkStart w:id="314" w:name="_Toc489892959"/>
      <w:bookmarkStart w:id="315" w:name="_Toc446661214"/>
      <w:bookmarkStart w:id="316" w:name="_Toc66020751"/>
      <w:bookmarkStart w:id="317" w:name="_Toc91288834"/>
      <w:bookmarkStart w:id="318" w:name="_Toc496096018"/>
      <w:bookmarkStart w:id="319" w:name="_Toc477807575"/>
      <w:bookmarkStart w:id="320" w:name="_Toc482255067"/>
      <w:bookmarkStart w:id="321" w:name="_Toc414510777"/>
      <w:bookmarkStart w:id="322" w:name="_Toc78274950"/>
      <w:bookmarkStart w:id="323" w:name="_Toc438722127"/>
      <w:bookmarkStart w:id="324" w:name="_Toc479343964"/>
      <w:r>
        <w:rPr>
          <w:rFonts w:hint="eastAsia"/>
          <w:b/>
          <w:sz w:val="24"/>
        </w:rPr>
        <w:t>二、</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Pr>
          <w:rFonts w:hint="eastAsia"/>
          <w:b/>
          <w:sz w:val="24"/>
          <w:lang w:eastAsia="zh-CN"/>
        </w:rPr>
        <w:t>遴选文件</w:t>
      </w:r>
    </w:p>
    <w:p w14:paraId="50CE46A0">
      <w:pPr>
        <w:spacing w:line="360" w:lineRule="auto"/>
        <w:ind w:firstLine="482" w:firstLineChars="200"/>
        <w:rPr>
          <w:rFonts w:ascii="宋体" w:hAnsi="宋体"/>
          <w:b/>
          <w:sz w:val="24"/>
        </w:rPr>
      </w:pPr>
      <w:bookmarkStart w:id="325" w:name="_Toc90148894"/>
      <w:bookmarkStart w:id="326" w:name="_Toc91288836"/>
      <w:r>
        <w:rPr>
          <w:rFonts w:hint="eastAsia" w:ascii="宋体" w:hAnsi="宋体"/>
          <w:b/>
          <w:sz w:val="24"/>
        </w:rPr>
        <w:t>1.</w:t>
      </w:r>
      <w:r>
        <w:rPr>
          <w:rFonts w:hint="eastAsia" w:ascii="宋体" w:hAnsi="宋体"/>
          <w:b/>
          <w:sz w:val="24"/>
          <w:lang w:eastAsia="zh-CN"/>
        </w:rPr>
        <w:t>遴选文件</w:t>
      </w:r>
      <w:r>
        <w:rPr>
          <w:rFonts w:hint="eastAsia" w:ascii="宋体" w:hAnsi="宋体"/>
          <w:b/>
          <w:sz w:val="24"/>
        </w:rPr>
        <w:t>的澄清或修改</w:t>
      </w:r>
      <w:bookmarkEnd w:id="325"/>
      <w:bookmarkEnd w:id="326"/>
    </w:p>
    <w:p w14:paraId="48F21513">
      <w:pPr>
        <w:tabs>
          <w:tab w:val="left" w:pos="900"/>
        </w:tabs>
        <w:adjustRightInd w:val="0"/>
        <w:snapToGrid w:val="0"/>
        <w:spacing w:line="360" w:lineRule="auto"/>
        <w:ind w:firstLine="480" w:firstLineChars="200"/>
        <w:rPr>
          <w:rFonts w:ascii="宋体" w:hAnsi="宋体"/>
          <w:sz w:val="24"/>
        </w:rPr>
      </w:pPr>
      <w:r>
        <w:rPr>
          <w:rFonts w:hint="eastAsia" w:ascii="宋体" w:hAnsi="宋体"/>
          <w:sz w:val="24"/>
        </w:rPr>
        <w:t>1.1无论出于何种原因，</w:t>
      </w:r>
      <w:r>
        <w:rPr>
          <w:rFonts w:hint="eastAsia" w:ascii="宋体" w:hAnsi="宋体"/>
          <w:sz w:val="24"/>
          <w:lang w:eastAsia="zh-CN"/>
        </w:rPr>
        <w:t>遴选服务单位</w:t>
      </w:r>
      <w:r>
        <w:rPr>
          <w:rFonts w:hint="eastAsia" w:ascii="宋体" w:hAnsi="宋体"/>
          <w:sz w:val="24"/>
        </w:rPr>
        <w:t>主动地或在解答</w:t>
      </w:r>
      <w:r>
        <w:rPr>
          <w:rFonts w:hint="eastAsia" w:ascii="宋体" w:hAnsi="宋体"/>
          <w:sz w:val="24"/>
          <w:lang w:eastAsia="zh-CN"/>
        </w:rPr>
        <w:t>响应供应商</w:t>
      </w:r>
      <w:r>
        <w:rPr>
          <w:rFonts w:hint="eastAsia" w:ascii="宋体" w:hAnsi="宋体"/>
          <w:sz w:val="24"/>
        </w:rPr>
        <w:t>提出的疑问时对已发出的</w:t>
      </w:r>
      <w:r>
        <w:rPr>
          <w:rFonts w:hint="eastAsia" w:ascii="宋体" w:hAnsi="宋体"/>
          <w:sz w:val="24"/>
          <w:lang w:eastAsia="zh-CN"/>
        </w:rPr>
        <w:t>遴选文件</w:t>
      </w:r>
      <w:r>
        <w:rPr>
          <w:rFonts w:hint="eastAsia" w:ascii="宋体" w:hAnsi="宋体"/>
          <w:sz w:val="24"/>
        </w:rPr>
        <w:t>进行必要的澄清或修改（更正）的，将于</w:t>
      </w:r>
      <w:r>
        <w:rPr>
          <w:rFonts w:hint="eastAsia" w:ascii="宋体" w:hAnsi="宋体"/>
          <w:sz w:val="24"/>
          <w:lang w:eastAsia="zh-CN"/>
        </w:rPr>
        <w:t>响应</w:t>
      </w:r>
      <w:r>
        <w:rPr>
          <w:rFonts w:hint="eastAsia" w:ascii="宋体" w:hAnsi="宋体"/>
          <w:sz w:val="24"/>
        </w:rPr>
        <w:t>截止时间前在指定媒体上发布公告，并通知所有报名及购买</w:t>
      </w:r>
      <w:r>
        <w:rPr>
          <w:rFonts w:hint="eastAsia" w:ascii="宋体" w:hAnsi="宋体"/>
          <w:sz w:val="24"/>
          <w:lang w:eastAsia="zh-CN"/>
        </w:rPr>
        <w:t>遴选文件</w:t>
      </w:r>
      <w:r>
        <w:rPr>
          <w:rFonts w:hint="eastAsia" w:ascii="宋体" w:hAnsi="宋体"/>
          <w:sz w:val="24"/>
        </w:rPr>
        <w:t>的</w:t>
      </w:r>
      <w:r>
        <w:rPr>
          <w:rFonts w:hint="eastAsia" w:ascii="宋体" w:hAnsi="宋体"/>
          <w:sz w:val="24"/>
          <w:lang w:eastAsia="zh-CN"/>
        </w:rPr>
        <w:t>响应供应商</w:t>
      </w:r>
      <w:r>
        <w:rPr>
          <w:rFonts w:hint="eastAsia" w:ascii="宋体" w:hAnsi="宋体"/>
          <w:sz w:val="24"/>
        </w:rPr>
        <w:t>，报名及购买</w:t>
      </w:r>
      <w:r>
        <w:rPr>
          <w:rFonts w:hint="eastAsia" w:ascii="宋体" w:hAnsi="宋体"/>
          <w:sz w:val="24"/>
          <w:lang w:eastAsia="zh-CN"/>
        </w:rPr>
        <w:t>遴选文件</w:t>
      </w:r>
      <w:r>
        <w:rPr>
          <w:rFonts w:hint="eastAsia" w:ascii="宋体" w:hAnsi="宋体"/>
          <w:sz w:val="24"/>
        </w:rPr>
        <w:t>的</w:t>
      </w:r>
      <w:r>
        <w:rPr>
          <w:rFonts w:hint="eastAsia" w:ascii="宋体" w:hAnsi="宋体"/>
          <w:sz w:val="24"/>
          <w:lang w:eastAsia="zh-CN"/>
        </w:rPr>
        <w:t>响应供应商</w:t>
      </w:r>
      <w:r>
        <w:rPr>
          <w:rFonts w:hint="eastAsia" w:ascii="宋体" w:hAnsi="宋体"/>
          <w:sz w:val="24"/>
        </w:rPr>
        <w:t>在收到澄清或修改（更正）通知后应按要求以书面形式（或邮件形式）予以确认，如在24小时之内无书面回函则视为同意修改内容，并有责任履行相应的义务。</w:t>
      </w:r>
    </w:p>
    <w:p w14:paraId="3184705C">
      <w:pPr>
        <w:tabs>
          <w:tab w:val="left" w:pos="900"/>
        </w:tabs>
        <w:adjustRightInd w:val="0"/>
        <w:snapToGrid w:val="0"/>
        <w:spacing w:line="360" w:lineRule="auto"/>
        <w:ind w:firstLine="480" w:firstLineChars="200"/>
        <w:rPr>
          <w:rFonts w:ascii="宋体" w:hAnsi="宋体"/>
          <w:sz w:val="24"/>
        </w:rPr>
      </w:pPr>
      <w:r>
        <w:rPr>
          <w:rFonts w:hint="eastAsia" w:ascii="宋体" w:hAnsi="宋体"/>
          <w:sz w:val="24"/>
        </w:rPr>
        <w:t>1.2</w:t>
      </w:r>
      <w:r>
        <w:rPr>
          <w:rFonts w:hint="eastAsia" w:ascii="宋体" w:hAnsi="宋体"/>
          <w:sz w:val="24"/>
          <w:lang w:eastAsia="zh-CN"/>
        </w:rPr>
        <w:t>响应供应商</w:t>
      </w:r>
      <w:r>
        <w:rPr>
          <w:rFonts w:ascii="宋体" w:hAnsi="宋体"/>
          <w:sz w:val="24"/>
        </w:rPr>
        <w:t>认为</w:t>
      </w:r>
      <w:r>
        <w:rPr>
          <w:rFonts w:hint="eastAsia" w:ascii="宋体" w:hAnsi="宋体"/>
          <w:sz w:val="24"/>
          <w:lang w:eastAsia="zh-CN"/>
        </w:rPr>
        <w:t>遴选文件</w:t>
      </w:r>
      <w:r>
        <w:rPr>
          <w:rFonts w:hint="eastAsia" w:ascii="宋体" w:hAnsi="宋体"/>
          <w:sz w:val="24"/>
        </w:rPr>
        <w:t>、采购</w:t>
      </w:r>
      <w:r>
        <w:rPr>
          <w:rFonts w:ascii="宋体" w:hAnsi="宋体"/>
          <w:sz w:val="24"/>
        </w:rPr>
        <w:t>过程和</w:t>
      </w:r>
      <w:r>
        <w:rPr>
          <w:rFonts w:hint="eastAsia" w:ascii="宋体" w:hAnsi="宋体"/>
          <w:sz w:val="24"/>
          <w:lang w:eastAsia="zh-CN"/>
        </w:rPr>
        <w:t>成交</w:t>
      </w:r>
      <w:r>
        <w:rPr>
          <w:rFonts w:ascii="宋体" w:hAnsi="宋体"/>
          <w:sz w:val="24"/>
        </w:rPr>
        <w:t>结果使自己的权益受到损害的，可以在知道或者应知其权益受到损害之日起7个工作日内，</w:t>
      </w:r>
      <w:r>
        <w:rPr>
          <w:rFonts w:hint="eastAsia" w:ascii="宋体" w:hAnsi="宋体"/>
          <w:sz w:val="24"/>
        </w:rPr>
        <w:t>携带符合要求的纸质版质疑函及相关授权书和有效证件，当面</w:t>
      </w:r>
      <w:r>
        <w:rPr>
          <w:rFonts w:ascii="宋体" w:hAnsi="宋体"/>
          <w:sz w:val="24"/>
        </w:rPr>
        <w:t>向采购人或</w:t>
      </w:r>
      <w:r>
        <w:rPr>
          <w:rFonts w:hint="eastAsia" w:ascii="宋体" w:hAnsi="宋体"/>
          <w:sz w:val="24"/>
          <w:lang w:eastAsia="zh-CN"/>
        </w:rPr>
        <w:t>遴选服务单位</w:t>
      </w:r>
      <w:r>
        <w:rPr>
          <w:rFonts w:hint="eastAsia" w:ascii="宋体" w:hAnsi="宋体"/>
          <w:sz w:val="24"/>
        </w:rPr>
        <w:t>一次性提出针对同一采购程序环节的质疑</w:t>
      </w:r>
      <w:r>
        <w:rPr>
          <w:rFonts w:ascii="宋体" w:hAnsi="宋体"/>
          <w:sz w:val="24"/>
        </w:rPr>
        <w:t>，逾期质疑无效</w:t>
      </w:r>
      <w:r>
        <w:rPr>
          <w:rFonts w:hint="eastAsia" w:ascii="宋体" w:hAnsi="宋体"/>
          <w:sz w:val="24"/>
        </w:rPr>
        <w:t>。</w:t>
      </w:r>
      <w:r>
        <w:rPr>
          <w:rFonts w:ascii="宋体" w:hAnsi="宋体"/>
          <w:sz w:val="24"/>
        </w:rPr>
        <w:t>若所携带资料信息有误</w:t>
      </w:r>
      <w:r>
        <w:rPr>
          <w:rFonts w:hint="eastAsia" w:ascii="宋体" w:hAnsi="宋体"/>
          <w:sz w:val="24"/>
        </w:rPr>
        <w:t>，采购人</w:t>
      </w:r>
      <w:r>
        <w:rPr>
          <w:rFonts w:ascii="宋体" w:hAnsi="宋体"/>
          <w:sz w:val="24"/>
        </w:rPr>
        <w:t>或</w:t>
      </w:r>
      <w:r>
        <w:rPr>
          <w:rFonts w:hint="eastAsia" w:ascii="宋体" w:hAnsi="宋体"/>
          <w:sz w:val="24"/>
          <w:lang w:eastAsia="zh-CN"/>
        </w:rPr>
        <w:t>遴选服务单位</w:t>
      </w:r>
      <w:r>
        <w:rPr>
          <w:rFonts w:ascii="宋体" w:hAnsi="宋体"/>
          <w:sz w:val="24"/>
        </w:rPr>
        <w:t>有权拒收。</w:t>
      </w:r>
    </w:p>
    <w:p w14:paraId="4261ACD9">
      <w:pPr>
        <w:tabs>
          <w:tab w:val="left" w:pos="900"/>
        </w:tabs>
        <w:adjustRightInd w:val="0"/>
        <w:snapToGrid w:val="0"/>
        <w:spacing w:line="360" w:lineRule="auto"/>
        <w:ind w:firstLine="480" w:firstLineChars="200"/>
        <w:rPr>
          <w:rFonts w:ascii="宋体" w:hAnsi="宋体"/>
          <w:sz w:val="24"/>
        </w:rPr>
      </w:pPr>
      <w:r>
        <w:rPr>
          <w:rFonts w:hint="eastAsia" w:ascii="宋体" w:hAnsi="宋体"/>
          <w:sz w:val="24"/>
        </w:rPr>
        <w:t>1.3质疑材料应当包括下列内容：（1）纸质版质疑函一份，质疑函应包括：</w:t>
      </w:r>
      <w:r>
        <w:rPr>
          <w:rFonts w:hint="eastAsia" w:ascii="宋体" w:hAnsi="宋体"/>
          <w:sz w:val="24"/>
          <w:lang w:eastAsia="zh-CN"/>
        </w:rPr>
        <w:t>响应供应商</w:t>
      </w:r>
      <w:r>
        <w:rPr>
          <w:rFonts w:hint="eastAsia" w:ascii="宋体" w:hAnsi="宋体"/>
          <w:sz w:val="24"/>
        </w:rPr>
        <w:t>名称、地址、邮编、联系人及联系电话、质疑项目的名称和项目编号（若对项目的某一分包进行质疑，应列明具体的包组号）、具体、明确的质疑事项和与质疑事项相关的请求、事实依据、相关确凿的证明材料、授权代表姓名及其联系电话、提出质疑的日期，质疑函应当署名。（2）</w:t>
      </w:r>
      <w:r>
        <w:rPr>
          <w:rFonts w:hint="eastAsia" w:ascii="宋体" w:hAnsi="宋体"/>
          <w:sz w:val="24"/>
          <w:lang w:eastAsia="zh-CN"/>
        </w:rPr>
        <w:t>响应供应商</w:t>
      </w:r>
      <w:r>
        <w:rPr>
          <w:rFonts w:hint="eastAsia" w:ascii="宋体" w:hAnsi="宋体"/>
          <w:sz w:val="24"/>
        </w:rPr>
        <w:t>提交质疑函时需提供质疑函原件、法定代表人证明书和法定代表人授权委托书（应载明委托代理的具体权限及事项）及授权代表身份证复印件，所有提交的资料均需加盖公章。未在规定的时间内提出质疑的则视为</w:t>
      </w:r>
      <w:r>
        <w:rPr>
          <w:rFonts w:hint="eastAsia" w:ascii="宋体" w:hAnsi="宋体"/>
          <w:sz w:val="24"/>
          <w:lang w:eastAsia="zh-CN"/>
        </w:rPr>
        <w:t>响应供应商</w:t>
      </w:r>
      <w:r>
        <w:rPr>
          <w:rFonts w:hint="eastAsia" w:ascii="宋体" w:hAnsi="宋体"/>
          <w:sz w:val="24"/>
        </w:rPr>
        <w:t>已充分认识和理解了任何与本项目有关的影响事项和困难、风险等情况，并愿意按照本</w:t>
      </w:r>
      <w:r>
        <w:rPr>
          <w:rFonts w:hint="eastAsia" w:ascii="宋体" w:hAnsi="宋体"/>
          <w:sz w:val="24"/>
          <w:lang w:eastAsia="zh-CN"/>
        </w:rPr>
        <w:t>遴选文件</w:t>
      </w:r>
      <w:r>
        <w:rPr>
          <w:rFonts w:hint="eastAsia" w:ascii="宋体" w:hAnsi="宋体"/>
          <w:sz w:val="24"/>
        </w:rPr>
        <w:t>的所有条款执行。（3）对于捏造事实、滥用维权扰乱招标采购秩序的恶意质疑者或举证不全查无实据被驳回次数在一年内达三次以上，将纳入不良行为记录名单并承担相应的法律责任。</w:t>
      </w:r>
    </w:p>
    <w:p w14:paraId="013C2F56">
      <w:pPr>
        <w:tabs>
          <w:tab w:val="left" w:pos="900"/>
        </w:tabs>
        <w:adjustRightInd w:val="0"/>
        <w:snapToGrid w:val="0"/>
        <w:spacing w:line="360" w:lineRule="auto"/>
        <w:ind w:firstLine="480" w:firstLineChars="200"/>
        <w:rPr>
          <w:rFonts w:ascii="宋体" w:hAnsi="宋体"/>
          <w:sz w:val="24"/>
        </w:rPr>
      </w:pPr>
      <w:r>
        <w:rPr>
          <w:rFonts w:hint="eastAsia" w:ascii="宋体" w:hAnsi="宋体"/>
          <w:sz w:val="24"/>
        </w:rPr>
        <w:t>1.4对于</w:t>
      </w:r>
      <w:r>
        <w:rPr>
          <w:rFonts w:hint="eastAsia" w:ascii="宋体" w:hAnsi="宋体"/>
          <w:sz w:val="24"/>
          <w:lang w:eastAsia="zh-CN"/>
        </w:rPr>
        <w:t>响应供应商</w:t>
      </w:r>
      <w:r>
        <w:rPr>
          <w:rFonts w:hint="eastAsia" w:ascii="宋体" w:hAnsi="宋体"/>
          <w:sz w:val="24"/>
        </w:rPr>
        <w:t>的书面询问资料，常规在收到的3个工作日内进行答复，对于</w:t>
      </w:r>
      <w:r>
        <w:rPr>
          <w:rFonts w:hint="eastAsia" w:ascii="宋体" w:hAnsi="宋体"/>
          <w:sz w:val="24"/>
          <w:lang w:val="en-US" w:eastAsia="zh-CN"/>
        </w:rPr>
        <w:t>质疑</w:t>
      </w:r>
      <w:r>
        <w:rPr>
          <w:rFonts w:hint="eastAsia" w:ascii="宋体" w:hAnsi="宋体"/>
          <w:sz w:val="24"/>
        </w:rPr>
        <w:t>资料，常规在收到的</w:t>
      </w:r>
      <w:r>
        <w:rPr>
          <w:rFonts w:hint="eastAsia" w:ascii="宋体" w:hAnsi="宋体"/>
          <w:sz w:val="24"/>
          <w:lang w:val="en-US" w:eastAsia="zh-CN"/>
        </w:rPr>
        <w:t>7</w:t>
      </w:r>
      <w:r>
        <w:rPr>
          <w:rFonts w:hint="eastAsia" w:ascii="宋体" w:hAnsi="宋体"/>
          <w:sz w:val="24"/>
        </w:rPr>
        <w:t>个工作日内进行答复，具体以</w:t>
      </w:r>
      <w:r>
        <w:rPr>
          <w:rFonts w:hint="eastAsia" w:ascii="宋体" w:hAnsi="宋体"/>
          <w:sz w:val="24"/>
          <w:lang w:eastAsia="zh-CN"/>
        </w:rPr>
        <w:t>遴选服务单位</w:t>
      </w:r>
      <w:r>
        <w:rPr>
          <w:rFonts w:hint="eastAsia" w:ascii="宋体" w:hAnsi="宋体"/>
          <w:sz w:val="24"/>
        </w:rPr>
        <w:t>答复为准。</w:t>
      </w:r>
    </w:p>
    <w:p w14:paraId="7C0048E1">
      <w:pPr>
        <w:tabs>
          <w:tab w:val="left" w:pos="900"/>
        </w:tabs>
        <w:adjustRightInd w:val="0"/>
        <w:snapToGrid w:val="0"/>
        <w:spacing w:line="360" w:lineRule="auto"/>
        <w:ind w:firstLine="480" w:firstLineChars="200"/>
        <w:rPr>
          <w:rFonts w:ascii="宋体" w:hAnsi="宋体"/>
          <w:sz w:val="24"/>
        </w:rPr>
      </w:pPr>
      <w:r>
        <w:rPr>
          <w:rFonts w:hint="eastAsia" w:ascii="宋体" w:hAnsi="宋体"/>
          <w:sz w:val="24"/>
        </w:rPr>
        <w:t>2.询问、质疑受理单位：粤廉（广东）招标代理有限公司，联系电话：（020）</w:t>
      </w:r>
      <w:r>
        <w:rPr>
          <w:rFonts w:ascii="宋体" w:hAnsi="宋体"/>
          <w:sz w:val="24"/>
        </w:rPr>
        <w:t>3788936</w:t>
      </w:r>
      <w:r>
        <w:rPr>
          <w:rFonts w:hint="eastAsia" w:ascii="宋体" w:hAnsi="宋体"/>
          <w:sz w:val="24"/>
        </w:rPr>
        <w:t>7。</w:t>
      </w:r>
    </w:p>
    <w:p w14:paraId="120B1E73">
      <w:pPr>
        <w:tabs>
          <w:tab w:val="left" w:pos="900"/>
        </w:tabs>
        <w:adjustRightInd w:val="0"/>
        <w:snapToGrid w:val="0"/>
        <w:spacing w:line="360" w:lineRule="auto"/>
        <w:ind w:firstLine="480" w:firstLineChars="200"/>
        <w:rPr>
          <w:rFonts w:ascii="宋体" w:hAnsi="宋体"/>
          <w:sz w:val="24"/>
        </w:rPr>
      </w:pPr>
      <w:r>
        <w:rPr>
          <w:rFonts w:hint="eastAsia" w:ascii="宋体" w:hAnsi="宋体"/>
          <w:sz w:val="24"/>
          <w:lang w:eastAsia="zh-CN"/>
        </w:rPr>
        <w:t>响应供应商</w:t>
      </w:r>
      <w:r>
        <w:rPr>
          <w:rFonts w:hint="eastAsia" w:ascii="宋体" w:hAnsi="宋体"/>
          <w:sz w:val="24"/>
        </w:rPr>
        <w:t>在规定的时间内未对</w:t>
      </w:r>
      <w:r>
        <w:rPr>
          <w:rFonts w:hint="eastAsia" w:ascii="宋体" w:hAnsi="宋体"/>
          <w:sz w:val="24"/>
          <w:lang w:eastAsia="zh-CN"/>
        </w:rPr>
        <w:t>遴选文件</w:t>
      </w:r>
      <w:r>
        <w:rPr>
          <w:rFonts w:hint="eastAsia" w:ascii="宋体" w:hAnsi="宋体"/>
          <w:sz w:val="24"/>
        </w:rPr>
        <w:t>提出疑问或需澄清的内容，代理机构将视其为无异议。对</w:t>
      </w:r>
      <w:r>
        <w:rPr>
          <w:rFonts w:hint="eastAsia" w:ascii="宋体" w:hAnsi="宋体"/>
          <w:sz w:val="24"/>
          <w:lang w:eastAsia="zh-CN"/>
        </w:rPr>
        <w:t>遴选文件</w:t>
      </w:r>
      <w:r>
        <w:rPr>
          <w:rFonts w:hint="eastAsia" w:ascii="宋体" w:hAnsi="宋体"/>
          <w:sz w:val="24"/>
        </w:rPr>
        <w:t>中描述有歧义或前后不一致的地方，评审小组有权进行评判，但对同一条款的评判应适用于每个</w:t>
      </w:r>
      <w:r>
        <w:rPr>
          <w:rFonts w:hint="eastAsia" w:ascii="宋体" w:hAnsi="宋体"/>
          <w:sz w:val="24"/>
          <w:lang w:eastAsia="zh-CN"/>
        </w:rPr>
        <w:t>响应供应商</w:t>
      </w:r>
      <w:r>
        <w:rPr>
          <w:rFonts w:hint="eastAsia" w:ascii="宋体" w:hAnsi="宋体"/>
          <w:sz w:val="24"/>
        </w:rPr>
        <w:t>。</w:t>
      </w:r>
    </w:p>
    <w:p w14:paraId="26E8E858">
      <w:pPr>
        <w:spacing w:line="360" w:lineRule="auto"/>
        <w:jc w:val="left"/>
        <w:rPr>
          <w:rFonts w:hint="eastAsia" w:eastAsia="宋体"/>
          <w:b/>
          <w:sz w:val="24"/>
          <w:lang w:eastAsia="zh-CN"/>
        </w:rPr>
      </w:pPr>
      <w:bookmarkStart w:id="327" w:name="_Toc11921988"/>
      <w:bookmarkStart w:id="328" w:name="_Toc297209417"/>
      <w:bookmarkStart w:id="329" w:name="_Toc496045525"/>
      <w:bookmarkStart w:id="330" w:name="_Toc78274951"/>
      <w:bookmarkStart w:id="331" w:name="_Toc489974539"/>
      <w:bookmarkStart w:id="332" w:name="_Toc422161990"/>
      <w:bookmarkStart w:id="333" w:name="_Toc489892960"/>
      <w:bookmarkStart w:id="334" w:name="_Toc364846098"/>
      <w:bookmarkStart w:id="335" w:name="_Toc5584"/>
      <w:bookmarkStart w:id="336" w:name="_Toc21875"/>
      <w:bookmarkStart w:id="337" w:name="_Toc477691925"/>
      <w:bookmarkStart w:id="338" w:name="_Toc435686978"/>
      <w:bookmarkStart w:id="339" w:name="_Toc435687273"/>
      <w:bookmarkStart w:id="340" w:name="_Toc298190382"/>
      <w:bookmarkStart w:id="341" w:name="_Toc487101003"/>
      <w:bookmarkStart w:id="342" w:name="_Toc298829959"/>
      <w:bookmarkStart w:id="343" w:name="_Toc445809738"/>
      <w:bookmarkStart w:id="344" w:name="_Toc435629790"/>
      <w:bookmarkStart w:id="345" w:name="_Toc438722128"/>
      <w:bookmarkStart w:id="346" w:name="_Toc439513159"/>
      <w:bookmarkStart w:id="347" w:name="_Toc82692162"/>
      <w:bookmarkStart w:id="348" w:name="_Toc446661215"/>
      <w:bookmarkStart w:id="349" w:name="_Toc504062511"/>
      <w:bookmarkStart w:id="350" w:name="_Toc498079511"/>
      <w:bookmarkStart w:id="351" w:name="_Toc490033946"/>
      <w:bookmarkStart w:id="352" w:name="_Toc482365828"/>
      <w:bookmarkStart w:id="353" w:name="_Toc77781849"/>
      <w:bookmarkStart w:id="354" w:name="_Toc418023331"/>
      <w:bookmarkStart w:id="355" w:name="_Toc477807576"/>
      <w:bookmarkStart w:id="356" w:name="_Toc496123813"/>
      <w:bookmarkStart w:id="357" w:name="_Toc488321014"/>
      <w:bookmarkStart w:id="358" w:name="_Toc435623752"/>
      <w:bookmarkStart w:id="359" w:name="_Toc439513443"/>
      <w:bookmarkStart w:id="360" w:name="_Toc298920090"/>
      <w:bookmarkStart w:id="361" w:name="_Toc69828213"/>
      <w:bookmarkStart w:id="362" w:name="_Toc499278245"/>
      <w:bookmarkStart w:id="363" w:name="_Toc343857024"/>
      <w:bookmarkStart w:id="364" w:name="_Toc438641463"/>
      <w:bookmarkStart w:id="365" w:name="_Toc447233581"/>
      <w:bookmarkStart w:id="366" w:name="_Toc356489051"/>
      <w:bookmarkStart w:id="367" w:name="_Toc435687347"/>
      <w:bookmarkStart w:id="368" w:name="_Toc475804834"/>
      <w:bookmarkStart w:id="369" w:name="_Toc498978621"/>
      <w:bookmarkStart w:id="370" w:name="_Toc468456995"/>
      <w:bookmarkStart w:id="371" w:name="_Toc365033704"/>
      <w:bookmarkStart w:id="372" w:name="_Toc91288838"/>
      <w:bookmarkStart w:id="373" w:name="_Toc75028760"/>
      <w:bookmarkStart w:id="374" w:name="_Toc468450944"/>
      <w:bookmarkStart w:id="375" w:name="_Toc416208484"/>
      <w:bookmarkStart w:id="376" w:name="_Toc503169233"/>
      <w:bookmarkStart w:id="377" w:name="_Toc504122247"/>
      <w:bookmarkStart w:id="378" w:name="_Toc82445236"/>
      <w:bookmarkStart w:id="379" w:name="_Toc475805891"/>
      <w:bookmarkStart w:id="380" w:name="_Toc513652301"/>
      <w:bookmarkStart w:id="381" w:name="_Toc414510778"/>
      <w:bookmarkStart w:id="382" w:name="_Toc447099504"/>
      <w:bookmarkStart w:id="383" w:name="_Toc496096019"/>
      <w:bookmarkStart w:id="384" w:name="_Toc55911457"/>
      <w:bookmarkStart w:id="385" w:name="_Toc299108388"/>
      <w:bookmarkStart w:id="386" w:name="_Toc515971186"/>
      <w:bookmarkStart w:id="387" w:name="_Toc438508595"/>
      <w:bookmarkStart w:id="388" w:name="_Toc380533808"/>
      <w:bookmarkStart w:id="389" w:name="_Toc479343965"/>
      <w:bookmarkStart w:id="390" w:name="_Toc422865419"/>
      <w:bookmarkStart w:id="391" w:name="_Toc55671078"/>
      <w:bookmarkStart w:id="392" w:name="_Toc66020752"/>
      <w:bookmarkStart w:id="393" w:name="_Toc488422444"/>
      <w:bookmarkStart w:id="394" w:name="_Toc498265666"/>
      <w:bookmarkStart w:id="395" w:name="_Toc439679266"/>
      <w:bookmarkStart w:id="396" w:name="_Toc55745643"/>
      <w:bookmarkStart w:id="397" w:name="_Toc350417822"/>
      <w:bookmarkStart w:id="398" w:name="_Toc514163553"/>
      <w:bookmarkStart w:id="399" w:name="_Toc65680700"/>
      <w:bookmarkStart w:id="400" w:name="_Toc51778260"/>
      <w:bookmarkStart w:id="401" w:name="_Toc51416499"/>
      <w:bookmarkStart w:id="402" w:name="_Toc51416822"/>
      <w:bookmarkStart w:id="403" w:name="_Toc482195756"/>
      <w:bookmarkStart w:id="404" w:name="_Toc90148896"/>
      <w:bookmarkStart w:id="405" w:name="_Toc482255068"/>
      <w:bookmarkStart w:id="406" w:name="_Toc78444595"/>
      <w:bookmarkStart w:id="407" w:name="_Toc71878580"/>
      <w:bookmarkStart w:id="408" w:name="_Toc425347660"/>
      <w:bookmarkStart w:id="409" w:name="_Toc504741243"/>
      <w:bookmarkStart w:id="410" w:name="_Toc435629836"/>
      <w:bookmarkStart w:id="411" w:name="_Toc298829718"/>
      <w:bookmarkStart w:id="412" w:name="_Toc24471617"/>
      <w:bookmarkStart w:id="413" w:name="_Toc438513732"/>
      <w:bookmarkStart w:id="414" w:name="_Toc32471"/>
      <w:bookmarkStart w:id="415" w:name="_Toc383124046"/>
      <w:bookmarkStart w:id="416" w:name="_Toc80869724"/>
      <w:bookmarkStart w:id="417" w:name="_Toc49082411"/>
      <w:bookmarkStart w:id="418" w:name="_Toc49135197"/>
      <w:r>
        <w:rPr>
          <w:rFonts w:hint="eastAsia"/>
          <w:b/>
          <w:sz w:val="24"/>
        </w:rPr>
        <w:t>三、</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Pr>
          <w:rFonts w:hint="eastAsia"/>
          <w:b/>
          <w:sz w:val="24"/>
          <w:lang w:eastAsia="zh-CN"/>
        </w:rPr>
        <w:t>响应文件</w:t>
      </w:r>
    </w:p>
    <w:p w14:paraId="4AD3B988">
      <w:pPr>
        <w:spacing w:line="360" w:lineRule="auto"/>
        <w:ind w:firstLine="482" w:firstLineChars="200"/>
        <w:rPr>
          <w:rFonts w:ascii="宋体" w:hAnsi="宋体"/>
          <w:b/>
          <w:sz w:val="24"/>
        </w:rPr>
      </w:pPr>
      <w:bookmarkStart w:id="419" w:name="_Toc91288839"/>
      <w:bookmarkStart w:id="420" w:name="_Toc90148897"/>
      <w:r>
        <w:rPr>
          <w:rFonts w:hint="eastAsia" w:ascii="宋体" w:hAnsi="宋体"/>
          <w:b/>
          <w:sz w:val="24"/>
        </w:rPr>
        <w:t>1.</w:t>
      </w:r>
      <w:r>
        <w:rPr>
          <w:rFonts w:hint="eastAsia" w:ascii="宋体" w:hAnsi="宋体"/>
          <w:b/>
          <w:sz w:val="24"/>
          <w:lang w:eastAsia="zh-CN"/>
        </w:rPr>
        <w:t>响应文件</w:t>
      </w:r>
      <w:r>
        <w:rPr>
          <w:rFonts w:hint="eastAsia" w:ascii="宋体" w:hAnsi="宋体"/>
          <w:b/>
          <w:sz w:val="24"/>
        </w:rPr>
        <w:t>的组成</w:t>
      </w:r>
      <w:bookmarkEnd w:id="419"/>
      <w:bookmarkEnd w:id="420"/>
    </w:p>
    <w:p w14:paraId="5F9C9AFA">
      <w:pPr>
        <w:tabs>
          <w:tab w:val="left" w:pos="900"/>
        </w:tabs>
        <w:adjustRightInd w:val="0"/>
        <w:snapToGrid w:val="0"/>
        <w:spacing w:line="360" w:lineRule="auto"/>
        <w:ind w:firstLine="480" w:firstLineChars="200"/>
        <w:rPr>
          <w:rFonts w:ascii="宋体" w:hAnsi="宋体"/>
          <w:sz w:val="24"/>
        </w:rPr>
      </w:pPr>
      <w:r>
        <w:rPr>
          <w:rFonts w:hint="eastAsia" w:ascii="宋体" w:hAnsi="宋体"/>
          <w:sz w:val="24"/>
        </w:rPr>
        <w:t>1.1</w:t>
      </w:r>
      <w:r>
        <w:rPr>
          <w:rFonts w:hint="eastAsia" w:ascii="宋体" w:hAnsi="宋体"/>
          <w:sz w:val="24"/>
          <w:lang w:eastAsia="zh-CN"/>
        </w:rPr>
        <w:t>响应供应商</w:t>
      </w:r>
      <w:r>
        <w:rPr>
          <w:rFonts w:hint="eastAsia" w:ascii="宋体" w:hAnsi="宋体"/>
          <w:sz w:val="24"/>
        </w:rPr>
        <w:t>必须编制完整的</w:t>
      </w:r>
      <w:r>
        <w:rPr>
          <w:rFonts w:hint="eastAsia" w:ascii="宋体" w:hAnsi="宋体"/>
          <w:sz w:val="24"/>
          <w:lang w:eastAsia="zh-CN"/>
        </w:rPr>
        <w:t>响应文件</w:t>
      </w:r>
      <w:r>
        <w:rPr>
          <w:rFonts w:hint="eastAsia" w:ascii="宋体" w:hAnsi="宋体"/>
          <w:sz w:val="24"/>
        </w:rPr>
        <w:t>，按顺序编制目录及页码并装订成册，内容较多时可以分册装订。各册独立装订的</w:t>
      </w:r>
      <w:r>
        <w:rPr>
          <w:rFonts w:hint="eastAsia" w:ascii="宋体" w:hAnsi="宋体"/>
          <w:sz w:val="24"/>
          <w:lang w:eastAsia="zh-CN"/>
        </w:rPr>
        <w:t>响应文件</w:t>
      </w:r>
      <w:r>
        <w:rPr>
          <w:rFonts w:hint="eastAsia" w:ascii="宋体" w:hAnsi="宋体"/>
          <w:sz w:val="24"/>
        </w:rPr>
        <w:t>封面必须加盖</w:t>
      </w:r>
      <w:r>
        <w:rPr>
          <w:rFonts w:hint="eastAsia" w:ascii="宋体" w:hAnsi="宋体"/>
          <w:sz w:val="24"/>
          <w:lang w:eastAsia="zh-CN"/>
        </w:rPr>
        <w:t>响应供应商</w:t>
      </w:r>
      <w:r>
        <w:rPr>
          <w:rFonts w:hint="eastAsia" w:ascii="宋体" w:hAnsi="宋体"/>
          <w:sz w:val="24"/>
        </w:rPr>
        <w:t>单位法定公章，除本</w:t>
      </w:r>
      <w:r>
        <w:rPr>
          <w:rFonts w:hint="eastAsia" w:ascii="宋体" w:hAnsi="宋体"/>
          <w:sz w:val="24"/>
          <w:lang w:eastAsia="zh-CN"/>
        </w:rPr>
        <w:t>遴选文件</w:t>
      </w:r>
      <w:r>
        <w:rPr>
          <w:rFonts w:hint="eastAsia" w:ascii="宋体" w:hAnsi="宋体"/>
          <w:sz w:val="24"/>
        </w:rPr>
        <w:t>规定的必须盖章的文件格式外，</w:t>
      </w:r>
      <w:r>
        <w:rPr>
          <w:rFonts w:hint="eastAsia" w:ascii="宋体" w:hAnsi="宋体"/>
          <w:sz w:val="24"/>
          <w:lang w:eastAsia="zh-CN"/>
        </w:rPr>
        <w:t>响应文件</w:t>
      </w:r>
      <w:r>
        <w:rPr>
          <w:rFonts w:hint="eastAsia" w:ascii="宋体" w:hAnsi="宋体"/>
          <w:sz w:val="24"/>
        </w:rPr>
        <w:t>还应骑缝加盖</w:t>
      </w:r>
      <w:r>
        <w:rPr>
          <w:rFonts w:hint="eastAsia" w:ascii="宋体" w:hAnsi="宋体"/>
          <w:sz w:val="24"/>
          <w:lang w:eastAsia="zh-CN"/>
        </w:rPr>
        <w:t>响应供应商</w:t>
      </w:r>
      <w:r>
        <w:rPr>
          <w:rFonts w:hint="eastAsia" w:ascii="宋体" w:hAnsi="宋体"/>
          <w:sz w:val="24"/>
        </w:rPr>
        <w:t>单位法定公章或逐页加盖</w:t>
      </w:r>
      <w:r>
        <w:rPr>
          <w:rFonts w:hint="eastAsia" w:ascii="宋体" w:hAnsi="宋体"/>
          <w:sz w:val="24"/>
          <w:lang w:eastAsia="zh-CN"/>
        </w:rPr>
        <w:t>响应供应商</w:t>
      </w:r>
      <w:r>
        <w:rPr>
          <w:rFonts w:hint="eastAsia" w:ascii="宋体" w:hAnsi="宋体"/>
          <w:sz w:val="24"/>
        </w:rPr>
        <w:t>单位法定公章。</w:t>
      </w:r>
      <w:r>
        <w:rPr>
          <w:rFonts w:hint="eastAsia" w:ascii="宋体" w:hAnsi="宋体"/>
          <w:sz w:val="24"/>
          <w:lang w:eastAsia="zh-CN"/>
        </w:rPr>
        <w:t>响应供应商</w:t>
      </w:r>
      <w:r>
        <w:rPr>
          <w:rFonts w:hint="eastAsia" w:ascii="宋体" w:hAnsi="宋体"/>
          <w:sz w:val="24"/>
        </w:rPr>
        <w:t>代表可由法定代表人或其委托代理人担任。由委托授权人签署的</w:t>
      </w:r>
      <w:r>
        <w:rPr>
          <w:rFonts w:hint="eastAsia" w:ascii="宋体" w:hAnsi="宋体"/>
          <w:sz w:val="24"/>
          <w:lang w:eastAsia="zh-CN"/>
        </w:rPr>
        <w:t>响应文件</w:t>
      </w:r>
      <w:r>
        <w:rPr>
          <w:rFonts w:hint="eastAsia" w:ascii="宋体" w:hAnsi="宋体"/>
          <w:sz w:val="24"/>
        </w:rPr>
        <w:t>中，须同时提交由法定代表人签署的有效的授权委托书。</w:t>
      </w:r>
    </w:p>
    <w:p w14:paraId="14AB2DAC">
      <w:pPr>
        <w:tabs>
          <w:tab w:val="left" w:pos="900"/>
        </w:tabs>
        <w:adjustRightInd w:val="0"/>
        <w:snapToGrid w:val="0"/>
        <w:spacing w:line="360" w:lineRule="auto"/>
        <w:ind w:firstLine="480" w:firstLineChars="200"/>
        <w:rPr>
          <w:rFonts w:ascii="宋体" w:hAnsi="宋体"/>
          <w:sz w:val="24"/>
        </w:rPr>
      </w:pPr>
      <w:r>
        <w:rPr>
          <w:rFonts w:hint="eastAsia" w:ascii="宋体" w:hAnsi="宋体"/>
          <w:sz w:val="24"/>
        </w:rPr>
        <w:t>1.2</w:t>
      </w:r>
      <w:r>
        <w:rPr>
          <w:rFonts w:hint="eastAsia" w:ascii="宋体" w:hAnsi="宋体"/>
          <w:sz w:val="24"/>
          <w:lang w:eastAsia="zh-CN"/>
        </w:rPr>
        <w:t>响应供应商</w:t>
      </w:r>
      <w:r>
        <w:rPr>
          <w:rFonts w:hint="eastAsia" w:ascii="宋体" w:hAnsi="宋体"/>
          <w:sz w:val="24"/>
        </w:rPr>
        <w:t>必须自行承担因其</w:t>
      </w:r>
      <w:r>
        <w:rPr>
          <w:rFonts w:hint="eastAsia" w:ascii="宋体" w:hAnsi="宋体"/>
          <w:sz w:val="24"/>
          <w:lang w:eastAsia="zh-CN"/>
        </w:rPr>
        <w:t>响应文件</w:t>
      </w:r>
      <w:r>
        <w:rPr>
          <w:rFonts w:hint="eastAsia" w:ascii="宋体" w:hAnsi="宋体"/>
          <w:sz w:val="24"/>
        </w:rPr>
        <w:t>的任何错漏而导致的一切后果。</w:t>
      </w:r>
    </w:p>
    <w:p w14:paraId="5D4A8552">
      <w:pPr>
        <w:spacing w:line="360" w:lineRule="auto"/>
        <w:ind w:firstLine="482" w:firstLineChars="200"/>
        <w:rPr>
          <w:rFonts w:ascii="宋体" w:hAnsi="宋体"/>
          <w:b/>
          <w:sz w:val="24"/>
        </w:rPr>
      </w:pPr>
      <w:bookmarkStart w:id="421" w:name="_Toc91288840"/>
      <w:bookmarkStart w:id="422" w:name="_Toc90148898"/>
      <w:r>
        <w:rPr>
          <w:rFonts w:hint="eastAsia" w:ascii="宋体" w:hAnsi="宋体"/>
          <w:b/>
          <w:sz w:val="24"/>
        </w:rPr>
        <w:t>2.</w:t>
      </w:r>
      <w:r>
        <w:rPr>
          <w:rFonts w:hint="eastAsia" w:ascii="宋体" w:hAnsi="宋体"/>
          <w:b/>
          <w:sz w:val="24"/>
          <w:lang w:eastAsia="zh-CN"/>
        </w:rPr>
        <w:t>响应文件</w:t>
      </w:r>
      <w:r>
        <w:rPr>
          <w:rFonts w:hint="eastAsia" w:ascii="宋体" w:hAnsi="宋体"/>
          <w:b/>
          <w:sz w:val="24"/>
        </w:rPr>
        <w:t>的编写</w:t>
      </w:r>
      <w:bookmarkEnd w:id="421"/>
      <w:bookmarkEnd w:id="422"/>
    </w:p>
    <w:p w14:paraId="4D1D35A8">
      <w:pPr>
        <w:tabs>
          <w:tab w:val="left" w:pos="900"/>
        </w:tabs>
        <w:adjustRightInd w:val="0"/>
        <w:snapToGrid w:val="0"/>
        <w:spacing w:line="360" w:lineRule="auto"/>
        <w:ind w:firstLine="480" w:firstLineChars="200"/>
        <w:rPr>
          <w:rFonts w:ascii="宋体" w:hAnsi="宋体"/>
          <w:sz w:val="24"/>
        </w:rPr>
      </w:pPr>
      <w:r>
        <w:rPr>
          <w:rFonts w:hint="eastAsia" w:ascii="宋体" w:hAnsi="宋体"/>
          <w:sz w:val="24"/>
        </w:rPr>
        <w:t>2.1</w:t>
      </w:r>
      <w:r>
        <w:rPr>
          <w:rFonts w:hint="eastAsia" w:ascii="宋体" w:hAnsi="宋体"/>
          <w:sz w:val="24"/>
          <w:lang w:eastAsia="zh-CN"/>
        </w:rPr>
        <w:t>响应供应商</w:t>
      </w:r>
      <w:r>
        <w:rPr>
          <w:rFonts w:hint="eastAsia" w:ascii="宋体" w:hAnsi="宋体"/>
          <w:sz w:val="24"/>
        </w:rPr>
        <w:t>应按</w:t>
      </w:r>
      <w:r>
        <w:rPr>
          <w:rFonts w:hint="eastAsia" w:ascii="宋体" w:hAnsi="宋体"/>
          <w:sz w:val="24"/>
          <w:lang w:eastAsia="zh-CN"/>
        </w:rPr>
        <w:t>遴选文件</w:t>
      </w:r>
      <w:r>
        <w:rPr>
          <w:rFonts w:hint="eastAsia" w:ascii="宋体" w:hAnsi="宋体"/>
          <w:sz w:val="24"/>
        </w:rPr>
        <w:t>的要求制作并递交</w:t>
      </w:r>
      <w:r>
        <w:rPr>
          <w:rFonts w:hint="eastAsia" w:ascii="宋体" w:hAnsi="宋体"/>
          <w:sz w:val="24"/>
          <w:lang w:eastAsia="zh-CN"/>
        </w:rPr>
        <w:t>响应文件</w:t>
      </w:r>
      <w:r>
        <w:rPr>
          <w:rFonts w:hint="eastAsia" w:ascii="宋体" w:hAnsi="宋体"/>
          <w:sz w:val="24"/>
        </w:rPr>
        <w:t>，保证所提供的全部资料的真实性、准确性。</w:t>
      </w:r>
      <w:r>
        <w:rPr>
          <w:rFonts w:hint="eastAsia" w:ascii="宋体" w:hAnsi="宋体"/>
          <w:sz w:val="24"/>
          <w:lang w:eastAsia="zh-CN"/>
        </w:rPr>
        <w:t>响应供应商</w:t>
      </w:r>
      <w:r>
        <w:rPr>
          <w:rFonts w:hint="eastAsia" w:ascii="宋体" w:hAnsi="宋体"/>
          <w:sz w:val="24"/>
        </w:rPr>
        <w:t>在</w:t>
      </w:r>
      <w:r>
        <w:rPr>
          <w:rFonts w:hint="eastAsia" w:ascii="宋体" w:hAnsi="宋体"/>
          <w:sz w:val="24"/>
          <w:lang w:eastAsia="zh-CN"/>
        </w:rPr>
        <w:t>响应文件</w:t>
      </w:r>
      <w:r>
        <w:rPr>
          <w:rFonts w:hint="eastAsia" w:ascii="宋体" w:hAnsi="宋体"/>
          <w:sz w:val="24"/>
        </w:rPr>
        <w:t>中提供不真实的材料，无论其材料是否重要，都将直接导致</w:t>
      </w:r>
      <w:r>
        <w:rPr>
          <w:rFonts w:hint="eastAsia" w:ascii="宋体" w:hAnsi="宋体"/>
          <w:sz w:val="24"/>
          <w:lang w:eastAsia="zh-CN"/>
        </w:rPr>
        <w:t>响应文件</w:t>
      </w:r>
      <w:r>
        <w:rPr>
          <w:rFonts w:hint="eastAsia" w:ascii="宋体" w:hAnsi="宋体"/>
          <w:sz w:val="24"/>
        </w:rPr>
        <w:t>无效，并承担由此产生的法律责任。</w:t>
      </w:r>
    </w:p>
    <w:p w14:paraId="2C47CCC5">
      <w:pPr>
        <w:tabs>
          <w:tab w:val="left" w:pos="900"/>
        </w:tabs>
        <w:adjustRightInd w:val="0"/>
        <w:snapToGrid w:val="0"/>
        <w:spacing w:line="360" w:lineRule="auto"/>
        <w:ind w:firstLine="480" w:firstLineChars="200"/>
        <w:rPr>
          <w:rFonts w:ascii="宋体" w:hAnsi="宋体"/>
          <w:sz w:val="24"/>
        </w:rPr>
      </w:pPr>
      <w:r>
        <w:rPr>
          <w:rFonts w:hint="eastAsia" w:ascii="宋体" w:hAnsi="宋体"/>
          <w:sz w:val="24"/>
        </w:rPr>
        <w:t>2.2</w:t>
      </w:r>
      <w:r>
        <w:rPr>
          <w:rFonts w:hint="eastAsia" w:ascii="宋体" w:hAnsi="宋体"/>
          <w:sz w:val="24"/>
          <w:lang w:eastAsia="zh-CN"/>
        </w:rPr>
        <w:t>响应</w:t>
      </w:r>
      <w:r>
        <w:rPr>
          <w:rFonts w:hint="eastAsia" w:ascii="宋体" w:hAnsi="宋体"/>
          <w:sz w:val="24"/>
        </w:rPr>
        <w:t>语言和计量单位。</w:t>
      </w:r>
      <w:r>
        <w:rPr>
          <w:rFonts w:hint="eastAsia" w:ascii="宋体" w:hAnsi="宋体"/>
          <w:sz w:val="24"/>
          <w:lang w:eastAsia="zh-CN"/>
        </w:rPr>
        <w:t>响应供应商</w:t>
      </w:r>
      <w:r>
        <w:rPr>
          <w:rFonts w:hint="eastAsia" w:ascii="宋体" w:hAnsi="宋体"/>
          <w:sz w:val="24"/>
        </w:rPr>
        <w:t>提交的</w:t>
      </w:r>
      <w:r>
        <w:rPr>
          <w:rFonts w:hint="eastAsia" w:ascii="宋体" w:hAnsi="宋体"/>
          <w:sz w:val="24"/>
          <w:lang w:eastAsia="zh-CN"/>
        </w:rPr>
        <w:t>响应文件</w:t>
      </w:r>
      <w:r>
        <w:rPr>
          <w:rFonts w:hint="eastAsia" w:ascii="宋体" w:hAnsi="宋体"/>
          <w:sz w:val="24"/>
        </w:rPr>
        <w:t>以及</w:t>
      </w:r>
      <w:r>
        <w:rPr>
          <w:rFonts w:hint="eastAsia" w:ascii="宋体" w:hAnsi="宋体"/>
          <w:sz w:val="24"/>
          <w:lang w:eastAsia="zh-CN"/>
        </w:rPr>
        <w:t>响应供应商</w:t>
      </w:r>
      <w:r>
        <w:rPr>
          <w:rFonts w:hint="eastAsia" w:ascii="宋体" w:hAnsi="宋体"/>
          <w:sz w:val="24"/>
        </w:rPr>
        <w:t>与</w:t>
      </w:r>
      <w:r>
        <w:rPr>
          <w:rFonts w:hint="eastAsia" w:ascii="宋体" w:hAnsi="宋体"/>
          <w:sz w:val="24"/>
          <w:lang w:eastAsia="zh-CN"/>
        </w:rPr>
        <w:t>遴选服务单位</w:t>
      </w:r>
      <w:r>
        <w:rPr>
          <w:rFonts w:hint="eastAsia" w:ascii="宋体" w:hAnsi="宋体"/>
          <w:sz w:val="24"/>
        </w:rPr>
        <w:t>就有关</w:t>
      </w:r>
      <w:r>
        <w:rPr>
          <w:rFonts w:hint="eastAsia" w:ascii="宋体" w:hAnsi="宋体"/>
          <w:sz w:val="24"/>
          <w:lang w:eastAsia="zh-CN"/>
        </w:rPr>
        <w:t>响应</w:t>
      </w:r>
      <w:r>
        <w:rPr>
          <w:rFonts w:hint="eastAsia" w:ascii="宋体" w:hAnsi="宋体"/>
          <w:sz w:val="24"/>
        </w:rPr>
        <w:t>的所有来往函电均应使用中文书写。</w:t>
      </w:r>
      <w:r>
        <w:rPr>
          <w:rFonts w:hint="eastAsia" w:ascii="宋体" w:hAnsi="宋体"/>
          <w:sz w:val="24"/>
          <w:lang w:eastAsia="zh-CN"/>
        </w:rPr>
        <w:t>响应供应商</w:t>
      </w:r>
      <w:r>
        <w:rPr>
          <w:rFonts w:hint="eastAsia" w:ascii="宋体" w:hAnsi="宋体"/>
          <w:sz w:val="24"/>
        </w:rPr>
        <w:t>提交的支持资料和已印刷的文献可以用另一种语言，但相应内容应附有中文翻译本，以中文翻译本为准。对中文翻译有异议的，以权威机构的译本为准。</w:t>
      </w:r>
    </w:p>
    <w:p w14:paraId="04A5C27E">
      <w:pPr>
        <w:tabs>
          <w:tab w:val="left" w:pos="900"/>
        </w:tabs>
        <w:adjustRightInd w:val="0"/>
        <w:snapToGrid w:val="0"/>
        <w:spacing w:line="360" w:lineRule="auto"/>
        <w:ind w:firstLine="480" w:firstLineChars="200"/>
        <w:rPr>
          <w:rFonts w:ascii="宋体" w:hAnsi="宋体"/>
          <w:sz w:val="24"/>
        </w:rPr>
      </w:pPr>
      <w:r>
        <w:rPr>
          <w:rFonts w:hint="eastAsia" w:ascii="宋体" w:hAnsi="宋体"/>
          <w:sz w:val="24"/>
        </w:rPr>
        <w:t>2.3</w:t>
      </w:r>
      <w:r>
        <w:rPr>
          <w:rFonts w:hint="eastAsia" w:ascii="宋体" w:hAnsi="宋体"/>
          <w:sz w:val="24"/>
          <w:lang w:eastAsia="zh-CN"/>
        </w:rPr>
        <w:t>响应供应商</w:t>
      </w:r>
      <w:r>
        <w:rPr>
          <w:rFonts w:hint="eastAsia" w:ascii="宋体" w:hAnsi="宋体"/>
          <w:sz w:val="24"/>
        </w:rPr>
        <w:t>应按《</w:t>
      </w:r>
      <w:r>
        <w:rPr>
          <w:rFonts w:hint="eastAsia" w:ascii="宋体" w:hAnsi="宋体"/>
          <w:sz w:val="24"/>
          <w:lang w:eastAsia="zh-CN"/>
        </w:rPr>
        <w:t>报价</w:t>
      </w:r>
      <w:r>
        <w:rPr>
          <w:rFonts w:hint="eastAsia" w:ascii="宋体" w:hAnsi="宋体"/>
          <w:sz w:val="24"/>
        </w:rPr>
        <w:t>一览表》的要求和格式内容进行报价，不得随意篡改格式。</w:t>
      </w:r>
    </w:p>
    <w:p w14:paraId="41C5D229">
      <w:pPr>
        <w:spacing w:line="360" w:lineRule="auto"/>
        <w:ind w:firstLine="482" w:firstLineChars="200"/>
        <w:rPr>
          <w:rFonts w:ascii="宋体" w:hAnsi="宋体"/>
          <w:b/>
          <w:sz w:val="24"/>
        </w:rPr>
      </w:pPr>
      <w:bookmarkStart w:id="423" w:name="_Toc90148899"/>
      <w:bookmarkStart w:id="424" w:name="_Toc91288841"/>
      <w:r>
        <w:rPr>
          <w:rFonts w:hint="eastAsia" w:ascii="宋体" w:hAnsi="宋体"/>
          <w:b/>
          <w:sz w:val="24"/>
        </w:rPr>
        <w:t>3.</w:t>
      </w:r>
      <w:r>
        <w:rPr>
          <w:rFonts w:hint="eastAsia" w:ascii="宋体" w:hAnsi="宋体"/>
          <w:b/>
          <w:sz w:val="24"/>
          <w:lang w:eastAsia="zh-CN"/>
        </w:rPr>
        <w:t>响应</w:t>
      </w:r>
      <w:r>
        <w:rPr>
          <w:rFonts w:hint="eastAsia" w:ascii="宋体" w:hAnsi="宋体"/>
          <w:b/>
          <w:sz w:val="24"/>
        </w:rPr>
        <w:t>的修改和撤回</w:t>
      </w:r>
      <w:bookmarkEnd w:id="423"/>
      <w:bookmarkEnd w:id="424"/>
    </w:p>
    <w:p w14:paraId="70318D2F">
      <w:pPr>
        <w:tabs>
          <w:tab w:val="left" w:pos="900"/>
        </w:tabs>
        <w:adjustRightInd w:val="0"/>
        <w:snapToGrid w:val="0"/>
        <w:spacing w:line="360" w:lineRule="auto"/>
        <w:ind w:firstLine="480" w:firstLineChars="200"/>
        <w:rPr>
          <w:rFonts w:ascii="宋体" w:hAnsi="宋体"/>
          <w:sz w:val="24"/>
        </w:rPr>
      </w:pPr>
      <w:r>
        <w:rPr>
          <w:rFonts w:hint="eastAsia" w:ascii="宋体" w:hAnsi="宋体"/>
          <w:sz w:val="24"/>
          <w:lang w:eastAsia="zh-CN"/>
        </w:rPr>
        <w:t>响应供应商</w:t>
      </w:r>
      <w:r>
        <w:rPr>
          <w:rFonts w:hint="eastAsia" w:ascii="宋体" w:hAnsi="宋体"/>
          <w:sz w:val="24"/>
        </w:rPr>
        <w:t>在</w:t>
      </w:r>
      <w:r>
        <w:rPr>
          <w:rFonts w:hint="eastAsia" w:ascii="宋体" w:hAnsi="宋体"/>
          <w:sz w:val="24"/>
          <w:lang w:eastAsia="zh-CN"/>
        </w:rPr>
        <w:t>响应</w:t>
      </w:r>
      <w:r>
        <w:rPr>
          <w:rFonts w:hint="eastAsia" w:ascii="宋体" w:hAnsi="宋体"/>
          <w:sz w:val="24"/>
        </w:rPr>
        <w:t>截止时间前，可以对所递交的</w:t>
      </w:r>
      <w:r>
        <w:rPr>
          <w:rFonts w:hint="eastAsia" w:ascii="宋体" w:hAnsi="宋体"/>
          <w:sz w:val="24"/>
          <w:lang w:eastAsia="zh-CN"/>
        </w:rPr>
        <w:t>响应文件</w:t>
      </w:r>
      <w:r>
        <w:rPr>
          <w:rFonts w:hint="eastAsia" w:ascii="宋体" w:hAnsi="宋体"/>
          <w:sz w:val="24"/>
        </w:rPr>
        <w:t>进行补充、修改或者撤回。补充、修改的内容应当按照</w:t>
      </w:r>
      <w:r>
        <w:rPr>
          <w:rFonts w:hint="eastAsia" w:ascii="宋体" w:hAnsi="宋体"/>
          <w:sz w:val="24"/>
          <w:lang w:eastAsia="zh-CN"/>
        </w:rPr>
        <w:t>遴选文件</w:t>
      </w:r>
      <w:r>
        <w:rPr>
          <w:rFonts w:hint="eastAsia" w:ascii="宋体" w:hAnsi="宋体"/>
          <w:sz w:val="24"/>
        </w:rPr>
        <w:t>要求签署、盖章、密封后，书面通知采购人或者</w:t>
      </w:r>
      <w:r>
        <w:rPr>
          <w:rFonts w:hint="eastAsia" w:ascii="宋体" w:hAnsi="宋体"/>
          <w:sz w:val="24"/>
          <w:lang w:eastAsia="zh-CN"/>
        </w:rPr>
        <w:t>遴选服务单位</w:t>
      </w:r>
      <w:r>
        <w:rPr>
          <w:rFonts w:hint="eastAsia" w:ascii="宋体" w:hAnsi="宋体"/>
          <w:sz w:val="24"/>
        </w:rPr>
        <w:t>，</w:t>
      </w:r>
      <w:r>
        <w:rPr>
          <w:rFonts w:hint="eastAsia" w:ascii="宋体" w:hAnsi="宋体"/>
          <w:sz w:val="24"/>
          <w:lang w:eastAsia="zh-CN"/>
        </w:rPr>
        <w:t>响应</w:t>
      </w:r>
      <w:r>
        <w:rPr>
          <w:rFonts w:hint="eastAsia" w:ascii="宋体" w:hAnsi="宋体"/>
          <w:sz w:val="24"/>
        </w:rPr>
        <w:t>截止后不得修改和撤回其</w:t>
      </w:r>
      <w:r>
        <w:rPr>
          <w:rFonts w:hint="eastAsia" w:ascii="宋体" w:hAnsi="宋体"/>
          <w:sz w:val="24"/>
          <w:lang w:eastAsia="zh-CN"/>
        </w:rPr>
        <w:t>响应文件</w:t>
      </w:r>
      <w:r>
        <w:rPr>
          <w:rFonts w:hint="eastAsia" w:ascii="宋体" w:hAnsi="宋体"/>
          <w:sz w:val="24"/>
        </w:rPr>
        <w:t>。</w:t>
      </w:r>
    </w:p>
    <w:p w14:paraId="5B383D49">
      <w:pPr>
        <w:spacing w:line="360" w:lineRule="auto"/>
        <w:jc w:val="left"/>
        <w:rPr>
          <w:b/>
          <w:sz w:val="24"/>
        </w:rPr>
      </w:pPr>
      <w:bookmarkStart w:id="425" w:name="_Toc298829719"/>
      <w:bookmarkStart w:id="426" w:name="_Toc383124047"/>
      <w:bookmarkStart w:id="427" w:name="_Toc438722129"/>
      <w:bookmarkStart w:id="428" w:name="_Toc435629791"/>
      <w:bookmarkStart w:id="429" w:name="_Toc439513444"/>
      <w:bookmarkStart w:id="430" w:name="_Toc438508596"/>
      <w:bookmarkStart w:id="431" w:name="_Toc439679267"/>
      <w:bookmarkStart w:id="432" w:name="_Toc297209418"/>
      <w:bookmarkStart w:id="433" w:name="_Toc414510779"/>
      <w:bookmarkStart w:id="434" w:name="_Toc299108389"/>
      <w:bookmarkStart w:id="435" w:name="_Toc422865420"/>
      <w:bookmarkStart w:id="436" w:name="_Toc435687348"/>
      <w:bookmarkStart w:id="437" w:name="_Toc439513160"/>
      <w:bookmarkStart w:id="438" w:name="_Toc356489052"/>
      <w:bookmarkStart w:id="439" w:name="_Toc447099505"/>
      <w:bookmarkStart w:id="440" w:name="_Toc380533809"/>
      <w:bookmarkStart w:id="441" w:name="_Toc435623753"/>
      <w:bookmarkStart w:id="442" w:name="_Toc298190383"/>
      <w:bookmarkStart w:id="443" w:name="_Toc435686979"/>
      <w:bookmarkStart w:id="444" w:name="_Toc438641464"/>
      <w:bookmarkStart w:id="445" w:name="_Toc446661216"/>
      <w:bookmarkStart w:id="446" w:name="_Toc298829960"/>
      <w:bookmarkStart w:id="447" w:name="_Toc364846099"/>
      <w:bookmarkStart w:id="448" w:name="_Toc298920091"/>
      <w:bookmarkStart w:id="449" w:name="_Toc435629837"/>
      <w:bookmarkStart w:id="450" w:name="_Toc435687274"/>
      <w:bookmarkStart w:id="451" w:name="_Toc422161991"/>
      <w:bookmarkStart w:id="452" w:name="_Toc468456996"/>
      <w:bookmarkStart w:id="453" w:name="_Toc418023332"/>
      <w:bookmarkStart w:id="454" w:name="_Toc425347661"/>
      <w:bookmarkStart w:id="455" w:name="_Toc343857025"/>
      <w:bookmarkStart w:id="456" w:name="_Toc365033705"/>
      <w:bookmarkStart w:id="457" w:name="_Toc350417823"/>
      <w:bookmarkStart w:id="458" w:name="_Toc468450945"/>
      <w:bookmarkStart w:id="459" w:name="_Toc438513733"/>
      <w:bookmarkStart w:id="460" w:name="_Toc416208485"/>
      <w:bookmarkStart w:id="461" w:name="_Toc447233582"/>
      <w:bookmarkStart w:id="462" w:name="_Toc445809739"/>
      <w:bookmarkStart w:id="463" w:name="_Toc499278246"/>
      <w:bookmarkStart w:id="464" w:name="_Toc489974540"/>
      <w:bookmarkStart w:id="465" w:name="_Toc515971187"/>
      <w:bookmarkStart w:id="466" w:name="_Toc51416500"/>
      <w:bookmarkStart w:id="467" w:name="_Toc498265667"/>
      <w:bookmarkStart w:id="468" w:name="_Toc77781850"/>
      <w:bookmarkStart w:id="469" w:name="_Toc498978622"/>
      <w:bookmarkStart w:id="470" w:name="_Toc496096020"/>
      <w:bookmarkStart w:id="471" w:name="_Toc479343966"/>
      <w:bookmarkStart w:id="472" w:name="_Toc82692163"/>
      <w:bookmarkStart w:id="473" w:name="_Toc475804835"/>
      <w:bookmarkStart w:id="474" w:name="_Toc75028761"/>
      <w:bookmarkStart w:id="475" w:name="_Toc496045526"/>
      <w:bookmarkStart w:id="476" w:name="_Toc78274952"/>
      <w:bookmarkStart w:id="477" w:name="_Toc477691926"/>
      <w:bookmarkStart w:id="478" w:name="_Toc490033947"/>
      <w:bookmarkStart w:id="479" w:name="_Toc496123814"/>
      <w:bookmarkStart w:id="480" w:name="_Toc23876"/>
      <w:bookmarkStart w:id="481" w:name="_Toc504062512"/>
      <w:bookmarkStart w:id="482" w:name="_Toc21888"/>
      <w:bookmarkStart w:id="483" w:name="_Toc80869725"/>
      <w:bookmarkStart w:id="484" w:name="_Toc69828214"/>
      <w:bookmarkStart w:id="485" w:name="_Toc477807577"/>
      <w:bookmarkStart w:id="486" w:name="_Toc489892961"/>
      <w:bookmarkStart w:id="487" w:name="_Toc513652302"/>
      <w:bookmarkStart w:id="488" w:name="_Toc2442"/>
      <w:bookmarkStart w:id="489" w:name="_Toc91288842"/>
      <w:bookmarkStart w:id="490" w:name="_Toc498079512"/>
      <w:bookmarkStart w:id="491" w:name="_Toc90148900"/>
      <w:bookmarkStart w:id="492" w:name="_Toc55671079"/>
      <w:bookmarkStart w:id="493" w:name="_Toc488422445"/>
      <w:bookmarkStart w:id="494" w:name="_Toc71878581"/>
      <w:bookmarkStart w:id="495" w:name="_Toc475805892"/>
      <w:bookmarkStart w:id="496" w:name="_Toc482195757"/>
      <w:bookmarkStart w:id="497" w:name="_Toc51416823"/>
      <w:bookmarkStart w:id="498" w:name="_Toc24471618"/>
      <w:bookmarkStart w:id="499" w:name="_Toc487101004"/>
      <w:bookmarkStart w:id="500" w:name="_Toc482365829"/>
      <w:bookmarkStart w:id="501" w:name="_Toc55911458"/>
      <w:bookmarkStart w:id="502" w:name="_Toc11921989"/>
      <w:bookmarkStart w:id="503" w:name="_Toc504122248"/>
      <w:bookmarkStart w:id="504" w:name="_Toc78444596"/>
      <w:bookmarkStart w:id="505" w:name="_Toc51778261"/>
      <w:bookmarkStart w:id="506" w:name="_Toc82445237"/>
      <w:bookmarkStart w:id="507" w:name="_Toc482255069"/>
      <w:bookmarkStart w:id="508" w:name="_Toc503169234"/>
      <w:bookmarkStart w:id="509" w:name="_Toc504741244"/>
      <w:bookmarkStart w:id="510" w:name="_Toc66020753"/>
      <w:bookmarkStart w:id="511" w:name="_Toc514163554"/>
      <w:bookmarkStart w:id="512" w:name="_Toc488321015"/>
      <w:bookmarkStart w:id="513" w:name="_Toc55745644"/>
      <w:bookmarkStart w:id="514" w:name="_Toc65680701"/>
      <w:r>
        <w:rPr>
          <w:rFonts w:hint="eastAsia"/>
          <w:b/>
          <w:sz w:val="24"/>
        </w:rPr>
        <w:t>四、</w:t>
      </w:r>
      <w:bookmarkEnd w:id="417"/>
      <w:bookmarkEnd w:id="418"/>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rFonts w:hint="eastAsia"/>
          <w:b/>
          <w:sz w:val="24"/>
          <w:lang w:eastAsia="zh-CN"/>
        </w:rPr>
        <w:t>响应文件</w:t>
      </w:r>
      <w:r>
        <w:rPr>
          <w:rFonts w:hint="eastAsia"/>
          <w:b/>
          <w:sz w:val="24"/>
        </w:rPr>
        <w:t>的递交</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3F37EC13">
      <w:pPr>
        <w:spacing w:line="360" w:lineRule="auto"/>
        <w:ind w:firstLine="482" w:firstLineChars="200"/>
        <w:rPr>
          <w:rFonts w:ascii="宋体" w:hAnsi="宋体"/>
          <w:b/>
          <w:sz w:val="24"/>
        </w:rPr>
      </w:pPr>
      <w:bookmarkStart w:id="515" w:name="_Toc91288843"/>
      <w:r>
        <w:rPr>
          <w:rFonts w:hint="eastAsia" w:ascii="宋体" w:hAnsi="宋体"/>
          <w:b/>
          <w:sz w:val="24"/>
        </w:rPr>
        <w:t>1.封套信息</w:t>
      </w:r>
      <w:bookmarkEnd w:id="515"/>
    </w:p>
    <w:p w14:paraId="28531982">
      <w:r>
        <mc:AlternateContent>
          <mc:Choice Requires="wps">
            <w:drawing>
              <wp:inline distT="0" distB="0" distL="0" distR="0">
                <wp:extent cx="6210300" cy="1821180"/>
                <wp:effectExtent l="0" t="0" r="19050" b="26670"/>
                <wp:docPr id="2" name="文本框 4"/>
                <wp:cNvGraphicFramePr/>
                <a:graphic xmlns:a="http://schemas.openxmlformats.org/drawingml/2006/main">
                  <a:graphicData uri="http://schemas.microsoft.com/office/word/2010/wordprocessingShape">
                    <wps:wsp>
                      <wps:cNvSpPr txBox="1"/>
                      <wps:spPr>
                        <a:xfrm>
                          <a:off x="0" y="0"/>
                          <a:ext cx="6210300" cy="182118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2E6EEBD3">
                            <w:pPr>
                              <w:spacing w:line="360" w:lineRule="auto"/>
                              <w:ind w:firstLine="1781" w:firstLineChars="845"/>
                              <w:jc w:val="right"/>
                              <w:rPr>
                                <w:rFonts w:ascii="宋体" w:hAnsi="宋体"/>
                                <w:b/>
                                <w:szCs w:val="21"/>
                              </w:rPr>
                            </w:pPr>
                            <w:r>
                              <w:rPr>
                                <w:rFonts w:hint="eastAsia" w:ascii="宋体" w:hAnsi="宋体"/>
                                <w:b/>
                                <w:szCs w:val="21"/>
                              </w:rPr>
                              <w:t>唱标信封/正本/副本</w:t>
                            </w:r>
                          </w:p>
                          <w:p w14:paraId="023765E3">
                            <w:pPr>
                              <w:pStyle w:val="30"/>
                              <w:spacing w:line="360" w:lineRule="auto"/>
                              <w:ind w:firstLine="422" w:firstLineChars="200"/>
                              <w:jc w:val="both"/>
                              <w:rPr>
                                <w:rFonts w:ascii="宋体" w:hAnsi="宋体" w:cs="宋体"/>
                                <w:b/>
                                <w:sz w:val="21"/>
                                <w:szCs w:val="21"/>
                              </w:rPr>
                            </w:pPr>
                            <w:r>
                              <w:rPr>
                                <w:rFonts w:hint="eastAsia" w:ascii="宋体" w:hAnsi="宋体" w:cs="宋体"/>
                                <w:b/>
                                <w:sz w:val="21"/>
                                <w:szCs w:val="21"/>
                              </w:rPr>
                              <w:t>收件人：粤廉（广东）招标代理有限公司</w:t>
                            </w:r>
                          </w:p>
                          <w:p w14:paraId="17A8974B">
                            <w:pPr>
                              <w:pStyle w:val="30"/>
                              <w:spacing w:line="360" w:lineRule="auto"/>
                              <w:ind w:firstLine="422" w:firstLineChars="200"/>
                              <w:jc w:val="both"/>
                              <w:rPr>
                                <w:rFonts w:ascii="宋体" w:hAnsi="宋体"/>
                                <w:b/>
                                <w:sz w:val="21"/>
                                <w:szCs w:val="21"/>
                              </w:rPr>
                            </w:pPr>
                            <w:r>
                              <w:rPr>
                                <w:rFonts w:hint="eastAsia" w:ascii="宋体" w:hAnsi="宋体"/>
                                <w:b/>
                                <w:sz w:val="21"/>
                                <w:szCs w:val="21"/>
                              </w:rPr>
                              <w:t>项目名称：</w:t>
                            </w:r>
                            <w:r>
                              <w:rPr>
                                <w:rFonts w:hint="eastAsia" w:ascii="宋体" w:hAnsi="宋体"/>
                                <w:b/>
                                <w:sz w:val="21"/>
                                <w:szCs w:val="21"/>
                                <w:lang w:eastAsia="zh-CN"/>
                              </w:rPr>
                              <w:t>广东省粤东技师学院海天数智化综合实训基地改造工程</w:t>
                            </w:r>
                          </w:p>
                          <w:p w14:paraId="525E9FAD">
                            <w:pPr>
                              <w:pStyle w:val="30"/>
                              <w:spacing w:line="360" w:lineRule="auto"/>
                              <w:ind w:firstLine="422" w:firstLineChars="200"/>
                              <w:jc w:val="both"/>
                              <w:rPr>
                                <w:rFonts w:ascii="宋体" w:hAnsi="宋体"/>
                                <w:b/>
                                <w:sz w:val="21"/>
                                <w:szCs w:val="21"/>
                              </w:rPr>
                            </w:pPr>
                            <w:r>
                              <w:rPr>
                                <w:rFonts w:hint="eastAsia" w:ascii="宋体" w:hAnsi="宋体"/>
                                <w:b/>
                                <w:sz w:val="21"/>
                                <w:szCs w:val="21"/>
                              </w:rPr>
                              <w:t>项目编号：</w:t>
                            </w:r>
                            <w:r>
                              <w:rPr>
                                <w:rFonts w:hint="eastAsia" w:ascii="宋体" w:hAnsi="宋体"/>
                                <w:b/>
                                <w:sz w:val="21"/>
                                <w:szCs w:val="21"/>
                                <w:lang w:eastAsia="zh-CN"/>
                              </w:rPr>
                              <w:t>YL202411248</w:t>
                            </w:r>
                            <w:r>
                              <w:rPr>
                                <w:rFonts w:hint="eastAsia" w:ascii="宋体" w:hAnsi="宋体"/>
                                <w:b/>
                                <w:sz w:val="21"/>
                                <w:szCs w:val="21"/>
                              </w:rPr>
                              <w:t xml:space="preserve">         </w:t>
                            </w:r>
                          </w:p>
                          <w:p w14:paraId="1ACAC211">
                            <w:pPr>
                              <w:pStyle w:val="30"/>
                              <w:spacing w:line="360" w:lineRule="auto"/>
                              <w:ind w:firstLine="422" w:firstLineChars="200"/>
                              <w:jc w:val="both"/>
                              <w:rPr>
                                <w:rFonts w:ascii="宋体" w:hAnsi="宋体"/>
                                <w:b/>
                                <w:sz w:val="21"/>
                                <w:szCs w:val="21"/>
                              </w:rPr>
                            </w:pPr>
                            <w:r>
                              <w:rPr>
                                <w:rFonts w:hint="eastAsia" w:ascii="宋体" w:hAnsi="宋体"/>
                                <w:b/>
                                <w:sz w:val="21"/>
                                <w:szCs w:val="21"/>
                                <w:lang w:eastAsia="zh-CN"/>
                              </w:rPr>
                              <w:t>响应供应商</w:t>
                            </w:r>
                            <w:r>
                              <w:rPr>
                                <w:rFonts w:hint="eastAsia" w:ascii="宋体" w:hAnsi="宋体"/>
                                <w:b/>
                                <w:sz w:val="21"/>
                                <w:szCs w:val="21"/>
                              </w:rPr>
                              <w:t>名称：</w:t>
                            </w:r>
                          </w:p>
                          <w:p w14:paraId="55BB87E4">
                            <w:pPr>
                              <w:spacing w:line="360" w:lineRule="auto"/>
                              <w:ind w:right="508" w:rightChars="242" w:firstLine="424" w:firstLineChars="201"/>
                              <w:rPr>
                                <w:rFonts w:ascii="宋体" w:hAnsi="宋体"/>
                                <w:b/>
                                <w:szCs w:val="21"/>
                              </w:rPr>
                            </w:pPr>
                            <w:r>
                              <w:rPr>
                                <w:rFonts w:hint="eastAsia" w:ascii="宋体" w:hAnsi="宋体"/>
                                <w:b/>
                                <w:szCs w:val="21"/>
                                <w:lang w:eastAsia="zh-CN"/>
                              </w:rPr>
                              <w:t>响应供应商</w:t>
                            </w:r>
                            <w:r>
                              <w:rPr>
                                <w:rFonts w:hint="eastAsia" w:ascii="宋体" w:hAnsi="宋体"/>
                                <w:b/>
                                <w:szCs w:val="21"/>
                              </w:rPr>
                              <w:t>地址：</w:t>
                            </w:r>
                          </w:p>
                          <w:p w14:paraId="500B5021">
                            <w:pPr>
                              <w:ind w:firstLine="422" w:firstLineChars="200"/>
                              <w:rPr>
                                <w:b/>
                                <w:szCs w:val="21"/>
                              </w:rPr>
                            </w:pPr>
                            <w:r>
                              <w:rPr>
                                <w:rFonts w:hint="eastAsia"/>
                                <w:b/>
                                <w:szCs w:val="21"/>
                              </w:rPr>
                              <w:t>在规定</w:t>
                            </w:r>
                            <w:r>
                              <w:rPr>
                                <w:rFonts w:hint="eastAsia"/>
                                <w:b/>
                                <w:szCs w:val="21"/>
                                <w:u w:val="single"/>
                              </w:rPr>
                              <w:t xml:space="preserve">  </w:t>
                            </w:r>
                            <w:r>
                              <w:rPr>
                                <w:rFonts w:hint="eastAsia"/>
                                <w:b/>
                                <w:szCs w:val="21"/>
                                <w:u w:val="single"/>
                                <w:lang w:eastAsia="zh-CN"/>
                              </w:rPr>
                              <w:t>响应文件</w:t>
                            </w:r>
                            <w:r>
                              <w:rPr>
                                <w:rFonts w:hint="eastAsia"/>
                                <w:b/>
                                <w:szCs w:val="21"/>
                                <w:u w:val="single"/>
                              </w:rPr>
                              <w:t xml:space="preserve">提交截止时间   </w:t>
                            </w:r>
                            <w:r>
                              <w:rPr>
                                <w:rFonts w:hint="eastAsia"/>
                                <w:b/>
                                <w:szCs w:val="21"/>
                              </w:rPr>
                              <w:t>之前不得启封</w:t>
                            </w:r>
                          </w:p>
                        </w:txbxContent>
                      </wps:txbx>
                      <wps:bodyPr upright="1"/>
                    </wps:wsp>
                  </a:graphicData>
                </a:graphic>
              </wp:inline>
            </w:drawing>
          </mc:Choice>
          <mc:Fallback>
            <w:pict>
              <v:shape id="文本框 4" o:spid="_x0000_s1026" o:spt="202" type="#_x0000_t202" style="height:143.4pt;width:489pt;" fillcolor="#FFFFFF" filled="t" stroked="t" coordsize="21600,21600" o:gfxdata="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7X+xE1AAAAAUBAAAPAAAAAAAAAAEAIAAAACIA&#10;AABkcnMvZG93bnJldi54bWxQSwECFAAUAAAACACHTuJAY1Ki8kYCAAC/BAAADgAAAAAAAAABACAA&#10;AAAjAQAAZHJzL2Uyb0RvYy54bWxQSwUGAAAAAAYABgBZAQAA2wUAAAAA&#10;">
                <v:fill type="gradient" on="t" color2="#FFFFFF" angle="90" focus="100%" focussize="0,0">
                  <o:fill type="gradientUnscaled" v:ext="backwardCompatible"/>
                </v:fill>
                <v:stroke weight="1.25pt" color="#000000" joinstyle="miter"/>
                <v:imagedata o:title=""/>
                <o:lock v:ext="edit" aspectratio="f"/>
                <v:textbox>
                  <w:txbxContent>
                    <w:p w14:paraId="2E6EEBD3">
                      <w:pPr>
                        <w:spacing w:line="360" w:lineRule="auto"/>
                        <w:ind w:firstLine="1781" w:firstLineChars="845"/>
                        <w:jc w:val="right"/>
                        <w:rPr>
                          <w:rFonts w:ascii="宋体" w:hAnsi="宋体"/>
                          <w:b/>
                          <w:szCs w:val="21"/>
                        </w:rPr>
                      </w:pPr>
                      <w:r>
                        <w:rPr>
                          <w:rFonts w:hint="eastAsia" w:ascii="宋体" w:hAnsi="宋体"/>
                          <w:b/>
                          <w:szCs w:val="21"/>
                        </w:rPr>
                        <w:t>唱标信封/正本/副本</w:t>
                      </w:r>
                    </w:p>
                    <w:p w14:paraId="023765E3">
                      <w:pPr>
                        <w:pStyle w:val="30"/>
                        <w:spacing w:line="360" w:lineRule="auto"/>
                        <w:ind w:firstLine="422" w:firstLineChars="200"/>
                        <w:jc w:val="both"/>
                        <w:rPr>
                          <w:rFonts w:ascii="宋体" w:hAnsi="宋体" w:cs="宋体"/>
                          <w:b/>
                          <w:sz w:val="21"/>
                          <w:szCs w:val="21"/>
                        </w:rPr>
                      </w:pPr>
                      <w:r>
                        <w:rPr>
                          <w:rFonts w:hint="eastAsia" w:ascii="宋体" w:hAnsi="宋体" w:cs="宋体"/>
                          <w:b/>
                          <w:sz w:val="21"/>
                          <w:szCs w:val="21"/>
                        </w:rPr>
                        <w:t>收件人：粤廉（广东）招标代理有限公司</w:t>
                      </w:r>
                    </w:p>
                    <w:p w14:paraId="17A8974B">
                      <w:pPr>
                        <w:pStyle w:val="30"/>
                        <w:spacing w:line="360" w:lineRule="auto"/>
                        <w:ind w:firstLine="422" w:firstLineChars="200"/>
                        <w:jc w:val="both"/>
                        <w:rPr>
                          <w:rFonts w:ascii="宋体" w:hAnsi="宋体"/>
                          <w:b/>
                          <w:sz w:val="21"/>
                          <w:szCs w:val="21"/>
                        </w:rPr>
                      </w:pPr>
                      <w:r>
                        <w:rPr>
                          <w:rFonts w:hint="eastAsia" w:ascii="宋体" w:hAnsi="宋体"/>
                          <w:b/>
                          <w:sz w:val="21"/>
                          <w:szCs w:val="21"/>
                        </w:rPr>
                        <w:t>项目名称：</w:t>
                      </w:r>
                      <w:r>
                        <w:rPr>
                          <w:rFonts w:hint="eastAsia" w:ascii="宋体" w:hAnsi="宋体"/>
                          <w:b/>
                          <w:sz w:val="21"/>
                          <w:szCs w:val="21"/>
                          <w:lang w:eastAsia="zh-CN"/>
                        </w:rPr>
                        <w:t>广东省粤东技师学院海天数智化综合实训基地改造工程</w:t>
                      </w:r>
                    </w:p>
                    <w:p w14:paraId="525E9FAD">
                      <w:pPr>
                        <w:pStyle w:val="30"/>
                        <w:spacing w:line="360" w:lineRule="auto"/>
                        <w:ind w:firstLine="422" w:firstLineChars="200"/>
                        <w:jc w:val="both"/>
                        <w:rPr>
                          <w:rFonts w:ascii="宋体" w:hAnsi="宋体"/>
                          <w:b/>
                          <w:sz w:val="21"/>
                          <w:szCs w:val="21"/>
                        </w:rPr>
                      </w:pPr>
                      <w:r>
                        <w:rPr>
                          <w:rFonts w:hint="eastAsia" w:ascii="宋体" w:hAnsi="宋体"/>
                          <w:b/>
                          <w:sz w:val="21"/>
                          <w:szCs w:val="21"/>
                        </w:rPr>
                        <w:t>项目编号：</w:t>
                      </w:r>
                      <w:r>
                        <w:rPr>
                          <w:rFonts w:hint="eastAsia" w:ascii="宋体" w:hAnsi="宋体"/>
                          <w:b/>
                          <w:sz w:val="21"/>
                          <w:szCs w:val="21"/>
                          <w:lang w:eastAsia="zh-CN"/>
                        </w:rPr>
                        <w:t>YL202411248</w:t>
                      </w:r>
                      <w:r>
                        <w:rPr>
                          <w:rFonts w:hint="eastAsia" w:ascii="宋体" w:hAnsi="宋体"/>
                          <w:b/>
                          <w:sz w:val="21"/>
                          <w:szCs w:val="21"/>
                        </w:rPr>
                        <w:t xml:space="preserve">         </w:t>
                      </w:r>
                    </w:p>
                    <w:p w14:paraId="1ACAC211">
                      <w:pPr>
                        <w:pStyle w:val="30"/>
                        <w:spacing w:line="360" w:lineRule="auto"/>
                        <w:ind w:firstLine="422" w:firstLineChars="200"/>
                        <w:jc w:val="both"/>
                        <w:rPr>
                          <w:rFonts w:ascii="宋体" w:hAnsi="宋体"/>
                          <w:b/>
                          <w:sz w:val="21"/>
                          <w:szCs w:val="21"/>
                        </w:rPr>
                      </w:pPr>
                      <w:r>
                        <w:rPr>
                          <w:rFonts w:hint="eastAsia" w:ascii="宋体" w:hAnsi="宋体"/>
                          <w:b/>
                          <w:sz w:val="21"/>
                          <w:szCs w:val="21"/>
                          <w:lang w:eastAsia="zh-CN"/>
                        </w:rPr>
                        <w:t>响应供应商</w:t>
                      </w:r>
                      <w:r>
                        <w:rPr>
                          <w:rFonts w:hint="eastAsia" w:ascii="宋体" w:hAnsi="宋体"/>
                          <w:b/>
                          <w:sz w:val="21"/>
                          <w:szCs w:val="21"/>
                        </w:rPr>
                        <w:t>名称：</w:t>
                      </w:r>
                    </w:p>
                    <w:p w14:paraId="55BB87E4">
                      <w:pPr>
                        <w:spacing w:line="360" w:lineRule="auto"/>
                        <w:ind w:right="508" w:rightChars="242" w:firstLine="424" w:firstLineChars="201"/>
                        <w:rPr>
                          <w:rFonts w:ascii="宋体" w:hAnsi="宋体"/>
                          <w:b/>
                          <w:szCs w:val="21"/>
                        </w:rPr>
                      </w:pPr>
                      <w:r>
                        <w:rPr>
                          <w:rFonts w:hint="eastAsia" w:ascii="宋体" w:hAnsi="宋体"/>
                          <w:b/>
                          <w:szCs w:val="21"/>
                          <w:lang w:eastAsia="zh-CN"/>
                        </w:rPr>
                        <w:t>响应供应商</w:t>
                      </w:r>
                      <w:r>
                        <w:rPr>
                          <w:rFonts w:hint="eastAsia" w:ascii="宋体" w:hAnsi="宋体"/>
                          <w:b/>
                          <w:szCs w:val="21"/>
                        </w:rPr>
                        <w:t>地址：</w:t>
                      </w:r>
                    </w:p>
                    <w:p w14:paraId="500B5021">
                      <w:pPr>
                        <w:ind w:firstLine="422" w:firstLineChars="200"/>
                        <w:rPr>
                          <w:b/>
                          <w:szCs w:val="21"/>
                        </w:rPr>
                      </w:pPr>
                      <w:r>
                        <w:rPr>
                          <w:rFonts w:hint="eastAsia"/>
                          <w:b/>
                          <w:szCs w:val="21"/>
                        </w:rPr>
                        <w:t>在规定</w:t>
                      </w:r>
                      <w:r>
                        <w:rPr>
                          <w:rFonts w:hint="eastAsia"/>
                          <w:b/>
                          <w:szCs w:val="21"/>
                          <w:u w:val="single"/>
                        </w:rPr>
                        <w:t xml:space="preserve">  </w:t>
                      </w:r>
                      <w:r>
                        <w:rPr>
                          <w:rFonts w:hint="eastAsia"/>
                          <w:b/>
                          <w:szCs w:val="21"/>
                          <w:u w:val="single"/>
                          <w:lang w:eastAsia="zh-CN"/>
                        </w:rPr>
                        <w:t>响应文件</w:t>
                      </w:r>
                      <w:r>
                        <w:rPr>
                          <w:rFonts w:hint="eastAsia"/>
                          <w:b/>
                          <w:szCs w:val="21"/>
                          <w:u w:val="single"/>
                        </w:rPr>
                        <w:t xml:space="preserve">提交截止时间   </w:t>
                      </w:r>
                      <w:r>
                        <w:rPr>
                          <w:rFonts w:hint="eastAsia"/>
                          <w:b/>
                          <w:szCs w:val="21"/>
                        </w:rPr>
                        <w:t>之前不得启封</w:t>
                      </w:r>
                    </w:p>
                  </w:txbxContent>
                </v:textbox>
                <w10:wrap type="none"/>
                <w10:anchorlock/>
              </v:shape>
            </w:pict>
          </mc:Fallback>
        </mc:AlternateContent>
      </w:r>
    </w:p>
    <w:p w14:paraId="4A6BABB4">
      <w:pPr>
        <w:spacing w:line="360" w:lineRule="auto"/>
        <w:ind w:firstLine="482" w:firstLineChars="200"/>
        <w:rPr>
          <w:rFonts w:ascii="宋体" w:hAnsi="宋体"/>
          <w:b/>
          <w:sz w:val="24"/>
        </w:rPr>
      </w:pPr>
      <w:bookmarkStart w:id="516" w:name="_Toc90148901"/>
      <w:bookmarkStart w:id="517" w:name="_Toc91288844"/>
      <w:r>
        <w:rPr>
          <w:rFonts w:hint="eastAsia" w:ascii="宋体" w:hAnsi="宋体"/>
          <w:b/>
          <w:sz w:val="24"/>
        </w:rPr>
        <w:t>2.</w:t>
      </w:r>
      <w:r>
        <w:rPr>
          <w:rFonts w:hint="eastAsia" w:ascii="宋体" w:hAnsi="宋体"/>
          <w:b/>
          <w:sz w:val="24"/>
          <w:lang w:eastAsia="zh-CN"/>
        </w:rPr>
        <w:t>响应文件</w:t>
      </w:r>
      <w:r>
        <w:rPr>
          <w:rFonts w:hint="eastAsia" w:ascii="宋体" w:hAnsi="宋体"/>
          <w:b/>
          <w:sz w:val="24"/>
        </w:rPr>
        <w:t>的密封</w:t>
      </w:r>
      <w:bookmarkEnd w:id="516"/>
      <w:bookmarkEnd w:id="517"/>
    </w:p>
    <w:p w14:paraId="2E0F4297">
      <w:pPr>
        <w:tabs>
          <w:tab w:val="left" w:pos="900"/>
        </w:tabs>
        <w:adjustRightInd w:val="0"/>
        <w:snapToGrid w:val="0"/>
        <w:spacing w:line="360" w:lineRule="auto"/>
        <w:ind w:firstLine="480" w:firstLineChars="200"/>
        <w:rPr>
          <w:rFonts w:ascii="宋体" w:hAnsi="宋体"/>
          <w:sz w:val="24"/>
        </w:rPr>
      </w:pPr>
      <w:r>
        <w:rPr>
          <w:rFonts w:hint="eastAsia" w:ascii="宋体" w:hAnsi="宋体"/>
          <w:sz w:val="24"/>
        </w:rPr>
        <w:t>2.1</w:t>
      </w:r>
      <w:r>
        <w:rPr>
          <w:rFonts w:hint="eastAsia" w:ascii="宋体" w:hAnsi="宋体"/>
          <w:sz w:val="24"/>
          <w:lang w:eastAsia="zh-CN"/>
        </w:rPr>
        <w:t>响应文件</w:t>
      </w:r>
      <w:r>
        <w:rPr>
          <w:rFonts w:hint="eastAsia" w:ascii="宋体" w:hAnsi="宋体"/>
          <w:sz w:val="24"/>
        </w:rPr>
        <w:t>须严格按照《响应须知前表》要求的份数和密封要求进行密封，如因</w:t>
      </w:r>
      <w:r>
        <w:rPr>
          <w:rFonts w:hint="eastAsia" w:ascii="宋体" w:hAnsi="宋体"/>
          <w:sz w:val="24"/>
          <w:lang w:eastAsia="zh-CN"/>
        </w:rPr>
        <w:t>响应文件</w:t>
      </w:r>
      <w:r>
        <w:rPr>
          <w:rFonts w:hint="eastAsia" w:ascii="宋体" w:hAnsi="宋体"/>
          <w:sz w:val="24"/>
        </w:rPr>
        <w:t>搬运导致的外包装破损，但不足以造成</w:t>
      </w:r>
      <w:r>
        <w:rPr>
          <w:rFonts w:hint="eastAsia" w:ascii="宋体" w:hAnsi="宋体"/>
          <w:sz w:val="24"/>
          <w:lang w:eastAsia="zh-CN"/>
        </w:rPr>
        <w:t>响应文件</w:t>
      </w:r>
      <w:r>
        <w:rPr>
          <w:rFonts w:hint="eastAsia" w:ascii="宋体" w:hAnsi="宋体"/>
          <w:sz w:val="24"/>
        </w:rPr>
        <w:t>可从外包装内散出而导致</w:t>
      </w:r>
      <w:r>
        <w:rPr>
          <w:rFonts w:hint="eastAsia" w:ascii="宋体" w:hAnsi="宋体"/>
          <w:sz w:val="24"/>
          <w:lang w:eastAsia="zh-CN"/>
        </w:rPr>
        <w:t>响应文件</w:t>
      </w:r>
      <w:r>
        <w:rPr>
          <w:rFonts w:hint="eastAsia" w:ascii="宋体" w:hAnsi="宋体"/>
          <w:sz w:val="24"/>
        </w:rPr>
        <w:t>泄密的，视为</w:t>
      </w:r>
      <w:r>
        <w:rPr>
          <w:rFonts w:hint="eastAsia" w:ascii="宋体" w:hAnsi="宋体"/>
          <w:sz w:val="24"/>
          <w:lang w:eastAsia="zh-CN"/>
        </w:rPr>
        <w:t>响应文件</w:t>
      </w:r>
      <w:r>
        <w:rPr>
          <w:rFonts w:hint="eastAsia" w:ascii="宋体" w:hAnsi="宋体"/>
          <w:sz w:val="24"/>
        </w:rPr>
        <w:t>密封性完好。</w:t>
      </w:r>
    </w:p>
    <w:p w14:paraId="1237BBBA">
      <w:pPr>
        <w:tabs>
          <w:tab w:val="left" w:pos="900"/>
        </w:tabs>
        <w:adjustRightInd w:val="0"/>
        <w:snapToGrid w:val="0"/>
        <w:spacing w:line="360" w:lineRule="auto"/>
        <w:ind w:firstLine="480" w:firstLineChars="200"/>
        <w:rPr>
          <w:rFonts w:ascii="宋体" w:hAnsi="宋体"/>
          <w:sz w:val="24"/>
        </w:rPr>
      </w:pPr>
      <w:r>
        <w:rPr>
          <w:rFonts w:hint="eastAsia" w:ascii="宋体" w:hAnsi="宋体"/>
          <w:sz w:val="24"/>
        </w:rPr>
        <w:t>2.2所有</w:t>
      </w:r>
      <w:r>
        <w:rPr>
          <w:rFonts w:hint="eastAsia" w:ascii="宋体" w:hAnsi="宋体"/>
          <w:sz w:val="24"/>
          <w:lang w:eastAsia="zh-CN"/>
        </w:rPr>
        <w:t>响应文件</w:t>
      </w:r>
      <w:r>
        <w:rPr>
          <w:rFonts w:hint="eastAsia" w:ascii="宋体" w:hAnsi="宋体"/>
          <w:sz w:val="24"/>
        </w:rPr>
        <w:t>应在</w:t>
      </w:r>
      <w:r>
        <w:rPr>
          <w:rFonts w:hint="eastAsia" w:ascii="宋体" w:hAnsi="宋体"/>
          <w:sz w:val="24"/>
          <w:lang w:eastAsia="zh-CN"/>
        </w:rPr>
        <w:t>响应</w:t>
      </w:r>
      <w:r>
        <w:rPr>
          <w:rFonts w:hint="eastAsia" w:ascii="宋体" w:hAnsi="宋体"/>
          <w:sz w:val="24"/>
        </w:rPr>
        <w:t>截止时间前送达本项目</w:t>
      </w:r>
      <w:r>
        <w:rPr>
          <w:rFonts w:hint="eastAsia" w:ascii="宋体" w:hAnsi="宋体"/>
          <w:sz w:val="24"/>
          <w:lang w:eastAsia="zh-CN"/>
        </w:rPr>
        <w:t>遴选文件</w:t>
      </w:r>
      <w:r>
        <w:rPr>
          <w:rFonts w:hint="eastAsia" w:ascii="宋体" w:hAnsi="宋体"/>
          <w:sz w:val="24"/>
        </w:rPr>
        <w:t>指定的</w:t>
      </w:r>
      <w:r>
        <w:rPr>
          <w:rFonts w:hint="eastAsia" w:ascii="宋体" w:hAnsi="宋体"/>
          <w:sz w:val="24"/>
          <w:lang w:eastAsia="zh-CN"/>
        </w:rPr>
        <w:t>唱价</w:t>
      </w:r>
      <w:r>
        <w:rPr>
          <w:rFonts w:hint="eastAsia" w:ascii="宋体" w:hAnsi="宋体"/>
          <w:sz w:val="24"/>
        </w:rPr>
        <w:t>地点。</w:t>
      </w:r>
    </w:p>
    <w:p w14:paraId="015833A3">
      <w:pPr>
        <w:tabs>
          <w:tab w:val="left" w:pos="900"/>
        </w:tabs>
        <w:adjustRightInd w:val="0"/>
        <w:snapToGrid w:val="0"/>
        <w:spacing w:line="360" w:lineRule="auto"/>
        <w:ind w:firstLine="480" w:firstLineChars="200"/>
        <w:rPr>
          <w:rFonts w:ascii="宋体" w:hAnsi="宋体"/>
          <w:sz w:val="24"/>
        </w:rPr>
      </w:pPr>
      <w:r>
        <w:rPr>
          <w:rFonts w:hint="eastAsia" w:ascii="宋体" w:hAnsi="宋体"/>
          <w:sz w:val="24"/>
        </w:rPr>
        <w:t>2.3</w:t>
      </w:r>
      <w:r>
        <w:rPr>
          <w:rFonts w:hint="eastAsia" w:ascii="宋体" w:hAnsi="宋体"/>
          <w:sz w:val="24"/>
          <w:lang w:eastAsia="zh-CN"/>
        </w:rPr>
        <w:t>遴选服务单位</w:t>
      </w:r>
      <w:r>
        <w:rPr>
          <w:rFonts w:hint="eastAsia" w:ascii="宋体" w:hAnsi="宋体"/>
          <w:sz w:val="24"/>
        </w:rPr>
        <w:t>拒绝接收没有密封的</w:t>
      </w:r>
      <w:r>
        <w:rPr>
          <w:rFonts w:hint="eastAsia" w:ascii="宋体" w:hAnsi="宋体"/>
          <w:sz w:val="24"/>
          <w:lang w:eastAsia="zh-CN"/>
        </w:rPr>
        <w:t>响应文件</w:t>
      </w:r>
      <w:r>
        <w:rPr>
          <w:rFonts w:hint="eastAsia" w:ascii="宋体" w:hAnsi="宋体"/>
          <w:sz w:val="24"/>
        </w:rPr>
        <w:t>或</w:t>
      </w:r>
      <w:r>
        <w:rPr>
          <w:rFonts w:hint="eastAsia" w:ascii="宋体" w:hAnsi="宋体"/>
          <w:sz w:val="24"/>
          <w:lang w:eastAsia="zh-CN"/>
        </w:rPr>
        <w:t>响应</w:t>
      </w:r>
      <w:r>
        <w:rPr>
          <w:rFonts w:hint="eastAsia" w:ascii="宋体" w:hAnsi="宋体"/>
          <w:sz w:val="24"/>
        </w:rPr>
        <w:t>截止时间后递交的</w:t>
      </w:r>
      <w:r>
        <w:rPr>
          <w:rFonts w:hint="eastAsia" w:ascii="宋体" w:hAnsi="宋体"/>
          <w:sz w:val="24"/>
          <w:lang w:eastAsia="zh-CN"/>
        </w:rPr>
        <w:t>响应文件</w:t>
      </w:r>
      <w:r>
        <w:rPr>
          <w:rFonts w:hint="eastAsia" w:ascii="宋体" w:hAnsi="宋体"/>
          <w:sz w:val="24"/>
        </w:rPr>
        <w:t>。</w:t>
      </w:r>
    </w:p>
    <w:p w14:paraId="1BFAAE7D">
      <w:pPr>
        <w:spacing w:line="360" w:lineRule="auto"/>
        <w:ind w:firstLine="482" w:firstLineChars="200"/>
        <w:rPr>
          <w:rFonts w:ascii="宋体" w:hAnsi="宋体"/>
          <w:b/>
          <w:sz w:val="24"/>
        </w:rPr>
      </w:pPr>
      <w:bookmarkStart w:id="518" w:name="_Toc91288845"/>
      <w:bookmarkStart w:id="519" w:name="_Toc90148902"/>
      <w:r>
        <w:rPr>
          <w:rFonts w:hint="eastAsia" w:ascii="宋体" w:hAnsi="宋体"/>
          <w:b/>
          <w:sz w:val="24"/>
        </w:rPr>
        <w:t>3.</w:t>
      </w:r>
      <w:r>
        <w:rPr>
          <w:rFonts w:hint="eastAsia" w:ascii="宋体" w:hAnsi="宋体"/>
          <w:b/>
          <w:sz w:val="24"/>
          <w:lang w:eastAsia="zh-CN"/>
        </w:rPr>
        <w:t>响应文件</w:t>
      </w:r>
      <w:r>
        <w:rPr>
          <w:rFonts w:hint="eastAsia" w:ascii="宋体" w:hAnsi="宋体"/>
          <w:b/>
          <w:sz w:val="24"/>
        </w:rPr>
        <w:t>的递交</w:t>
      </w:r>
      <w:bookmarkEnd w:id="518"/>
    </w:p>
    <w:p w14:paraId="44D7E8D8">
      <w:pPr>
        <w:tabs>
          <w:tab w:val="left" w:pos="900"/>
        </w:tabs>
        <w:adjustRightInd w:val="0"/>
        <w:snapToGrid w:val="0"/>
        <w:spacing w:line="360" w:lineRule="auto"/>
        <w:ind w:firstLine="480" w:firstLineChars="200"/>
        <w:rPr>
          <w:sz w:val="24"/>
        </w:rPr>
      </w:pPr>
      <w:r>
        <w:rPr>
          <w:rFonts w:hint="eastAsia"/>
          <w:sz w:val="24"/>
          <w:lang w:eastAsia="zh-CN"/>
        </w:rPr>
        <w:t>响应供应商</w:t>
      </w:r>
      <w:r>
        <w:rPr>
          <w:rFonts w:hint="eastAsia"/>
          <w:sz w:val="24"/>
        </w:rPr>
        <w:t>代表除携带单位授权证明外，还需携带有效的人员身份证明材料（如身份证原件/电子身份证/驾驶证/护照等），经</w:t>
      </w:r>
      <w:r>
        <w:rPr>
          <w:rFonts w:hint="eastAsia"/>
          <w:sz w:val="24"/>
          <w:lang w:eastAsia="zh-CN"/>
        </w:rPr>
        <w:t>遴选服务单位</w:t>
      </w:r>
      <w:r>
        <w:rPr>
          <w:rFonts w:hint="eastAsia"/>
          <w:sz w:val="24"/>
        </w:rPr>
        <w:t>核实通过后方可参加</w:t>
      </w:r>
      <w:r>
        <w:rPr>
          <w:rFonts w:hint="eastAsia"/>
          <w:sz w:val="24"/>
          <w:lang w:eastAsia="zh-CN"/>
        </w:rPr>
        <w:t>唱价</w:t>
      </w:r>
      <w:r>
        <w:rPr>
          <w:rFonts w:hint="eastAsia"/>
          <w:sz w:val="24"/>
        </w:rPr>
        <w:t>会。</w:t>
      </w:r>
    </w:p>
    <w:bookmarkEnd w:id="519"/>
    <w:p w14:paraId="70D01761">
      <w:pPr>
        <w:spacing w:line="360" w:lineRule="auto"/>
        <w:jc w:val="center"/>
        <w:outlineLvl w:val="0"/>
        <w:rPr>
          <w:rFonts w:hint="eastAsia" w:eastAsia="微软雅黑"/>
          <w:lang w:eastAsia="zh-CN"/>
        </w:rPr>
      </w:pPr>
      <w:r>
        <w:rPr>
          <w:rFonts w:ascii="宋体" w:hAnsi="宋体"/>
          <w:sz w:val="24"/>
        </w:rPr>
        <w:br w:type="page"/>
      </w:r>
      <w:bookmarkStart w:id="520" w:name="_Toc14889"/>
      <w:bookmarkStart w:id="521" w:name="_Toc410227692"/>
      <w:bookmarkStart w:id="522" w:name="_Toc7875"/>
      <w:bookmarkStart w:id="523" w:name="_Toc297209400"/>
      <w:r>
        <w:rPr>
          <w:rFonts w:hint="eastAsia" w:ascii="微软雅黑" w:hAnsi="微软雅黑" w:eastAsia="微软雅黑"/>
          <w:b/>
          <w:sz w:val="28"/>
        </w:rPr>
        <w:t xml:space="preserve">第五章 </w:t>
      </w:r>
      <w:r>
        <w:rPr>
          <w:rFonts w:hint="eastAsia" w:ascii="微软雅黑" w:hAnsi="微软雅黑" w:eastAsia="微软雅黑"/>
          <w:b/>
          <w:sz w:val="28"/>
          <w:lang w:eastAsia="zh-CN"/>
        </w:rPr>
        <w:t>唱价</w:t>
      </w:r>
      <w:r>
        <w:rPr>
          <w:rFonts w:hint="eastAsia" w:ascii="微软雅黑" w:hAnsi="微软雅黑" w:eastAsia="微软雅黑"/>
          <w:b/>
          <w:sz w:val="28"/>
        </w:rPr>
        <w:t>与</w:t>
      </w:r>
      <w:bookmarkEnd w:id="520"/>
      <w:bookmarkEnd w:id="521"/>
      <w:r>
        <w:rPr>
          <w:rFonts w:hint="eastAsia" w:ascii="微软雅黑" w:hAnsi="微软雅黑" w:eastAsia="微软雅黑"/>
          <w:b/>
          <w:sz w:val="28"/>
          <w:lang w:eastAsia="zh-CN"/>
        </w:rPr>
        <w:t>评审</w:t>
      </w:r>
      <w:bookmarkEnd w:id="522"/>
    </w:p>
    <w:p w14:paraId="12F4F397">
      <w:pPr>
        <w:spacing w:line="360" w:lineRule="auto"/>
        <w:jc w:val="left"/>
        <w:rPr>
          <w:rFonts w:hint="eastAsia" w:eastAsia="宋体"/>
          <w:b/>
          <w:sz w:val="24"/>
          <w:lang w:eastAsia="zh-CN"/>
        </w:rPr>
      </w:pPr>
      <w:bookmarkStart w:id="524" w:name="_Toc499278273"/>
      <w:bookmarkStart w:id="525" w:name="_Toc75028785"/>
      <w:bookmarkStart w:id="526" w:name="_Toc71878606"/>
      <w:bookmarkStart w:id="527" w:name="_Toc496045544"/>
      <w:bookmarkStart w:id="528" w:name="_Toc515971208"/>
      <w:bookmarkStart w:id="529" w:name="_Toc504122276"/>
      <w:bookmarkStart w:id="530" w:name="_Toc32166"/>
      <w:bookmarkStart w:id="531" w:name="_Toc69828233"/>
      <w:bookmarkStart w:id="532" w:name="_Toc479343989"/>
      <w:bookmarkStart w:id="533" w:name="_Toc498978649"/>
      <w:bookmarkStart w:id="534" w:name="_Toc489892975"/>
      <w:bookmarkStart w:id="535" w:name="_Toc513652324"/>
      <w:bookmarkStart w:id="536" w:name="_Toc55911493"/>
      <w:bookmarkStart w:id="537" w:name="_Toc55671113"/>
      <w:bookmarkStart w:id="538" w:name="_Toc90148922"/>
      <w:bookmarkStart w:id="539" w:name="_Toc66020774"/>
      <w:bookmarkStart w:id="540" w:name="_Toc55745679"/>
      <w:bookmarkStart w:id="541" w:name="_Toc504741272"/>
      <w:bookmarkStart w:id="542" w:name="_Toc82692199"/>
      <w:bookmarkStart w:id="543" w:name="_Toc496123832"/>
      <w:bookmarkStart w:id="544" w:name="_Toc498265694"/>
      <w:bookmarkStart w:id="545" w:name="_Toc51416858"/>
      <w:bookmarkStart w:id="546" w:name="_Toc488321029"/>
      <w:bookmarkStart w:id="547" w:name="_Toc82445266"/>
      <w:bookmarkStart w:id="548" w:name="_Toc475805894"/>
      <w:bookmarkStart w:id="549" w:name="_Toc487101022"/>
      <w:bookmarkStart w:id="550" w:name="_Toc51416535"/>
      <w:bookmarkStart w:id="551" w:name="_Toc482255087"/>
      <w:bookmarkStart w:id="552" w:name="_Toc91288848"/>
      <w:bookmarkStart w:id="553" w:name="_Toc488422459"/>
      <w:bookmarkStart w:id="554" w:name="_Toc29014"/>
      <w:bookmarkStart w:id="555" w:name="_Toc498079539"/>
      <w:bookmarkStart w:id="556" w:name="_Toc78444618"/>
      <w:bookmarkStart w:id="557" w:name="_Toc489974553"/>
      <w:bookmarkStart w:id="558" w:name="_Toc65680724"/>
      <w:bookmarkStart w:id="559" w:name="_Toc77781874"/>
      <w:bookmarkStart w:id="560" w:name="_Toc514163576"/>
      <w:bookmarkStart w:id="561" w:name="_Toc496096038"/>
      <w:bookmarkStart w:id="562" w:name="_Toc503169261"/>
      <w:bookmarkStart w:id="563" w:name="_Toc80869747"/>
      <w:bookmarkStart w:id="564" w:name="_Toc11922010"/>
      <w:bookmarkStart w:id="565" w:name="_Toc78274974"/>
      <w:bookmarkStart w:id="566" w:name="_Toc475804837"/>
      <w:bookmarkStart w:id="567" w:name="_Toc477691928"/>
      <w:bookmarkStart w:id="568" w:name="_Toc482365847"/>
      <w:bookmarkStart w:id="569" w:name="_Toc482195775"/>
      <w:bookmarkStart w:id="570" w:name="_Toc490033960"/>
      <w:bookmarkStart w:id="571" w:name="_Toc477807600"/>
      <w:bookmarkStart w:id="572" w:name="_Toc51778296"/>
      <w:bookmarkStart w:id="573" w:name="_Toc24471639"/>
      <w:bookmarkStart w:id="574" w:name="_Toc504062540"/>
      <w:bookmarkStart w:id="575" w:name="_Toc25219"/>
      <w:r>
        <w:rPr>
          <w:rFonts w:hint="eastAsia"/>
          <w:b/>
          <w:sz w:val="24"/>
        </w:rPr>
        <w:t>一、</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Pr>
          <w:rFonts w:hint="eastAsia"/>
          <w:b/>
          <w:sz w:val="24"/>
          <w:lang w:eastAsia="zh-CN"/>
        </w:rPr>
        <w:t>唱价</w:t>
      </w:r>
    </w:p>
    <w:p w14:paraId="3B955A33">
      <w:pPr>
        <w:tabs>
          <w:tab w:val="left" w:pos="900"/>
        </w:tabs>
        <w:adjustRightInd w:val="0"/>
        <w:snapToGrid w:val="0"/>
        <w:spacing w:line="360" w:lineRule="auto"/>
        <w:ind w:firstLine="480" w:firstLineChars="200"/>
        <w:rPr>
          <w:rFonts w:ascii="宋体" w:hAnsi="宋体"/>
          <w:sz w:val="24"/>
        </w:rPr>
      </w:pPr>
      <w:bookmarkStart w:id="576" w:name="_Toc475805895"/>
      <w:bookmarkStart w:id="577" w:name="_Toc477691929"/>
      <w:bookmarkStart w:id="578" w:name="_Toc477807601"/>
      <w:bookmarkStart w:id="579" w:name="_Toc479343990"/>
      <w:bookmarkStart w:id="580" w:name="_Toc475804838"/>
      <w:r>
        <w:rPr>
          <w:rFonts w:hint="eastAsia" w:ascii="宋体" w:hAnsi="宋体"/>
          <w:sz w:val="24"/>
        </w:rPr>
        <w:t>1.</w:t>
      </w:r>
      <w:r>
        <w:rPr>
          <w:rFonts w:hint="eastAsia" w:ascii="宋体" w:hAnsi="宋体"/>
          <w:sz w:val="24"/>
          <w:lang w:eastAsia="zh-CN"/>
        </w:rPr>
        <w:t>唱价</w:t>
      </w:r>
      <w:r>
        <w:rPr>
          <w:rFonts w:hint="eastAsia" w:ascii="宋体" w:hAnsi="宋体"/>
          <w:sz w:val="24"/>
        </w:rPr>
        <w:t>由采购人或者</w:t>
      </w:r>
      <w:r>
        <w:rPr>
          <w:rFonts w:hint="eastAsia" w:ascii="宋体" w:hAnsi="宋体"/>
          <w:sz w:val="24"/>
          <w:lang w:eastAsia="zh-CN"/>
        </w:rPr>
        <w:t>遴选服务单位</w:t>
      </w:r>
      <w:r>
        <w:rPr>
          <w:rFonts w:hint="eastAsia" w:ascii="宋体" w:hAnsi="宋体"/>
          <w:sz w:val="24"/>
        </w:rPr>
        <w:t>主持。评审小组成员不得参加</w:t>
      </w:r>
      <w:r>
        <w:rPr>
          <w:rFonts w:hint="eastAsia" w:ascii="宋体" w:hAnsi="宋体"/>
          <w:sz w:val="24"/>
          <w:lang w:eastAsia="zh-CN"/>
        </w:rPr>
        <w:t>唱价</w:t>
      </w:r>
      <w:r>
        <w:rPr>
          <w:rFonts w:hint="eastAsia" w:ascii="宋体" w:hAnsi="宋体"/>
          <w:sz w:val="24"/>
        </w:rPr>
        <w:t>活动。</w:t>
      </w:r>
    </w:p>
    <w:p w14:paraId="7336220C">
      <w:pPr>
        <w:tabs>
          <w:tab w:val="left" w:pos="900"/>
        </w:tabs>
        <w:adjustRightInd w:val="0"/>
        <w:snapToGrid w:val="0"/>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eastAsia="zh-CN"/>
        </w:rPr>
        <w:t>唱价</w:t>
      </w:r>
      <w:r>
        <w:rPr>
          <w:rFonts w:hint="eastAsia" w:ascii="宋体" w:hAnsi="宋体"/>
          <w:sz w:val="24"/>
        </w:rPr>
        <w:t>时，按签到顺序的前三名</w:t>
      </w:r>
      <w:r>
        <w:rPr>
          <w:rFonts w:hint="eastAsia" w:ascii="宋体" w:hAnsi="宋体"/>
          <w:sz w:val="24"/>
          <w:lang w:eastAsia="zh-CN"/>
        </w:rPr>
        <w:t>响应供应商</w:t>
      </w:r>
      <w:r>
        <w:rPr>
          <w:rFonts w:hint="eastAsia" w:ascii="宋体" w:hAnsi="宋体"/>
          <w:sz w:val="24"/>
        </w:rPr>
        <w:t>授权代表对</w:t>
      </w:r>
      <w:r>
        <w:rPr>
          <w:rFonts w:hint="eastAsia" w:ascii="宋体" w:hAnsi="宋体"/>
          <w:sz w:val="24"/>
          <w:lang w:eastAsia="zh-CN"/>
        </w:rPr>
        <w:t>响应文件</w:t>
      </w:r>
      <w:r>
        <w:rPr>
          <w:rFonts w:hint="eastAsia" w:ascii="宋体" w:hAnsi="宋体"/>
          <w:sz w:val="24"/>
        </w:rPr>
        <w:t>的密封情况进行检查；经确认无误后，由采购人或者</w:t>
      </w:r>
      <w:r>
        <w:rPr>
          <w:rFonts w:hint="eastAsia" w:ascii="宋体" w:hAnsi="宋体"/>
          <w:sz w:val="24"/>
          <w:lang w:eastAsia="zh-CN"/>
        </w:rPr>
        <w:t>遴选服务单位</w:t>
      </w:r>
      <w:r>
        <w:rPr>
          <w:rFonts w:hint="eastAsia" w:ascii="宋体" w:hAnsi="宋体"/>
          <w:sz w:val="24"/>
        </w:rPr>
        <w:t>工作人员当众拆封，宣布</w:t>
      </w:r>
      <w:r>
        <w:rPr>
          <w:rFonts w:hint="eastAsia" w:ascii="宋体" w:hAnsi="宋体"/>
          <w:sz w:val="24"/>
          <w:lang w:eastAsia="zh-CN"/>
        </w:rPr>
        <w:t>响应供应商</w:t>
      </w:r>
      <w:r>
        <w:rPr>
          <w:rFonts w:hint="eastAsia" w:ascii="宋体" w:hAnsi="宋体"/>
          <w:sz w:val="24"/>
        </w:rPr>
        <w:t>名称、</w:t>
      </w:r>
      <w:r>
        <w:rPr>
          <w:rFonts w:hint="eastAsia" w:ascii="宋体" w:hAnsi="宋体"/>
          <w:sz w:val="24"/>
          <w:lang w:eastAsia="zh-CN"/>
        </w:rPr>
        <w:t>响应</w:t>
      </w:r>
      <w:r>
        <w:rPr>
          <w:rFonts w:hint="eastAsia" w:ascii="宋体" w:hAnsi="宋体"/>
          <w:sz w:val="24"/>
        </w:rPr>
        <w:t>价格和</w:t>
      </w:r>
      <w:r>
        <w:rPr>
          <w:rFonts w:hint="eastAsia" w:ascii="宋体" w:hAnsi="宋体"/>
          <w:sz w:val="24"/>
          <w:lang w:eastAsia="zh-CN"/>
        </w:rPr>
        <w:t>遴选文件</w:t>
      </w:r>
      <w:r>
        <w:rPr>
          <w:rFonts w:hint="eastAsia" w:ascii="宋体" w:hAnsi="宋体"/>
          <w:sz w:val="24"/>
        </w:rPr>
        <w:t>规定的需要宣布的其他内容。</w:t>
      </w:r>
    </w:p>
    <w:p w14:paraId="7E558B3F">
      <w:pPr>
        <w:tabs>
          <w:tab w:val="left" w:pos="900"/>
        </w:tabs>
        <w:adjustRightInd w:val="0"/>
        <w:snapToGrid w:val="0"/>
        <w:spacing w:line="360" w:lineRule="auto"/>
        <w:ind w:firstLine="480" w:firstLineChars="200"/>
        <w:rPr>
          <w:rFonts w:ascii="宋体" w:hAnsi="宋体"/>
          <w:sz w:val="24"/>
        </w:rPr>
      </w:pPr>
      <w:r>
        <w:rPr>
          <w:rFonts w:hint="eastAsia" w:ascii="宋体" w:hAnsi="宋体"/>
          <w:sz w:val="24"/>
        </w:rPr>
        <w:t>3.当提交</w:t>
      </w:r>
      <w:r>
        <w:rPr>
          <w:rFonts w:hint="eastAsia" w:ascii="宋体" w:hAnsi="宋体"/>
          <w:sz w:val="24"/>
          <w:lang w:eastAsia="zh-CN"/>
        </w:rPr>
        <w:t>响应文件</w:t>
      </w:r>
      <w:r>
        <w:rPr>
          <w:rFonts w:hint="eastAsia" w:ascii="宋体" w:hAnsi="宋体"/>
          <w:sz w:val="24"/>
        </w:rPr>
        <w:t>的</w:t>
      </w:r>
      <w:r>
        <w:rPr>
          <w:rFonts w:hint="eastAsia" w:ascii="宋体" w:hAnsi="宋体"/>
          <w:sz w:val="24"/>
          <w:lang w:eastAsia="zh-CN"/>
        </w:rPr>
        <w:t>响应供应商</w:t>
      </w:r>
      <w:r>
        <w:rPr>
          <w:rFonts w:hint="eastAsia" w:ascii="宋体" w:hAnsi="宋体"/>
          <w:sz w:val="24"/>
        </w:rPr>
        <w:t>少于三家时，</w:t>
      </w:r>
      <w:r>
        <w:rPr>
          <w:rFonts w:hint="eastAsia" w:ascii="宋体" w:hAnsi="宋体"/>
          <w:sz w:val="24"/>
          <w:lang w:eastAsia="zh-CN"/>
        </w:rPr>
        <w:t>遴选服务单位</w:t>
      </w:r>
      <w:r>
        <w:rPr>
          <w:rFonts w:hint="eastAsia" w:ascii="宋体" w:hAnsi="宋体"/>
          <w:sz w:val="24"/>
        </w:rPr>
        <w:t>将宣布本次采购失败，并原封退回收到的任何</w:t>
      </w:r>
      <w:r>
        <w:rPr>
          <w:rFonts w:hint="eastAsia" w:ascii="宋体" w:hAnsi="宋体"/>
          <w:sz w:val="24"/>
          <w:lang w:eastAsia="zh-CN"/>
        </w:rPr>
        <w:t>响应文件</w:t>
      </w:r>
      <w:r>
        <w:rPr>
          <w:rFonts w:hint="eastAsia" w:ascii="宋体" w:hAnsi="宋体"/>
          <w:sz w:val="24"/>
        </w:rPr>
        <w:t>，对受影响的</w:t>
      </w:r>
      <w:r>
        <w:rPr>
          <w:rFonts w:hint="eastAsia" w:ascii="宋体" w:hAnsi="宋体"/>
          <w:sz w:val="24"/>
          <w:lang w:eastAsia="zh-CN"/>
        </w:rPr>
        <w:t>响应供应商</w:t>
      </w:r>
      <w:r>
        <w:rPr>
          <w:rFonts w:hint="eastAsia" w:ascii="宋体" w:hAnsi="宋体"/>
          <w:sz w:val="24"/>
        </w:rPr>
        <w:t>不承担任何责任。</w:t>
      </w:r>
    </w:p>
    <w:p w14:paraId="2E47D9DA">
      <w:pPr>
        <w:tabs>
          <w:tab w:val="left" w:pos="900"/>
        </w:tabs>
        <w:adjustRightInd w:val="0"/>
        <w:snapToGrid w:val="0"/>
        <w:spacing w:line="360" w:lineRule="auto"/>
        <w:ind w:firstLine="480" w:firstLineChars="200"/>
        <w:rPr>
          <w:rFonts w:ascii="宋体" w:hAnsi="宋体"/>
          <w:sz w:val="24"/>
        </w:rPr>
      </w:pPr>
      <w:r>
        <w:rPr>
          <w:rFonts w:hint="eastAsia" w:ascii="宋体" w:hAnsi="宋体"/>
          <w:sz w:val="24"/>
        </w:rPr>
        <w:t>4.</w:t>
      </w:r>
      <w:r>
        <w:rPr>
          <w:rFonts w:hint="eastAsia" w:ascii="宋体" w:hAnsi="宋体"/>
          <w:sz w:val="24"/>
          <w:lang w:eastAsia="zh-CN"/>
        </w:rPr>
        <w:t>响应供应商</w:t>
      </w:r>
      <w:r>
        <w:rPr>
          <w:rFonts w:hint="eastAsia" w:ascii="宋体" w:hAnsi="宋体"/>
          <w:sz w:val="24"/>
        </w:rPr>
        <w:t>代表对</w:t>
      </w:r>
      <w:r>
        <w:rPr>
          <w:rFonts w:hint="eastAsia" w:ascii="宋体" w:hAnsi="宋体"/>
          <w:sz w:val="24"/>
          <w:lang w:eastAsia="zh-CN"/>
        </w:rPr>
        <w:t>唱价</w:t>
      </w:r>
      <w:r>
        <w:rPr>
          <w:rFonts w:hint="eastAsia" w:ascii="宋体" w:hAnsi="宋体"/>
          <w:sz w:val="24"/>
        </w:rPr>
        <w:t>过程和</w:t>
      </w:r>
      <w:r>
        <w:rPr>
          <w:rFonts w:hint="eastAsia" w:ascii="宋体" w:hAnsi="宋体"/>
          <w:sz w:val="24"/>
          <w:lang w:eastAsia="zh-CN"/>
        </w:rPr>
        <w:t>唱价</w:t>
      </w:r>
      <w:r>
        <w:rPr>
          <w:rFonts w:hint="eastAsia" w:ascii="宋体" w:hAnsi="宋体"/>
          <w:sz w:val="24"/>
        </w:rPr>
        <w:t>记录有疑义，应当场提出询问或者回避申请。采购人、</w:t>
      </w:r>
      <w:r>
        <w:rPr>
          <w:rFonts w:hint="eastAsia" w:ascii="宋体" w:hAnsi="宋体"/>
          <w:sz w:val="24"/>
          <w:lang w:eastAsia="zh-CN"/>
        </w:rPr>
        <w:t>遴选服务单位</w:t>
      </w:r>
      <w:r>
        <w:rPr>
          <w:rFonts w:hint="eastAsia" w:ascii="宋体" w:hAnsi="宋体"/>
          <w:sz w:val="24"/>
        </w:rPr>
        <w:t>对</w:t>
      </w:r>
      <w:r>
        <w:rPr>
          <w:rFonts w:hint="eastAsia" w:ascii="宋体" w:hAnsi="宋体"/>
          <w:sz w:val="24"/>
          <w:lang w:eastAsia="zh-CN"/>
        </w:rPr>
        <w:t>响应供应商</w:t>
      </w:r>
      <w:r>
        <w:rPr>
          <w:rFonts w:hint="eastAsia" w:ascii="宋体" w:hAnsi="宋体"/>
          <w:sz w:val="24"/>
        </w:rPr>
        <w:t>代表提出的询问或者回避申请应当及时处理。</w:t>
      </w:r>
    </w:p>
    <w:p w14:paraId="260877CC">
      <w:pPr>
        <w:tabs>
          <w:tab w:val="left" w:pos="900"/>
        </w:tabs>
        <w:adjustRightInd w:val="0"/>
        <w:snapToGrid w:val="0"/>
        <w:spacing w:line="360" w:lineRule="auto"/>
        <w:ind w:firstLine="480" w:firstLineChars="200"/>
        <w:rPr>
          <w:rFonts w:ascii="宋体" w:hAnsi="宋体"/>
          <w:sz w:val="24"/>
        </w:rPr>
      </w:pPr>
      <w:r>
        <w:rPr>
          <w:rFonts w:hint="eastAsia" w:ascii="宋体" w:hAnsi="宋体"/>
          <w:sz w:val="24"/>
        </w:rPr>
        <w:t>5.已报名但未参加</w:t>
      </w:r>
      <w:r>
        <w:rPr>
          <w:rFonts w:hint="eastAsia" w:ascii="宋体" w:hAnsi="宋体"/>
          <w:sz w:val="24"/>
          <w:lang w:eastAsia="zh-CN"/>
        </w:rPr>
        <w:t>唱价</w:t>
      </w:r>
      <w:r>
        <w:rPr>
          <w:rFonts w:hint="eastAsia" w:ascii="宋体" w:hAnsi="宋体"/>
          <w:sz w:val="24"/>
        </w:rPr>
        <w:t>的</w:t>
      </w:r>
      <w:r>
        <w:rPr>
          <w:rFonts w:hint="eastAsia" w:ascii="宋体" w:hAnsi="宋体"/>
          <w:sz w:val="24"/>
          <w:lang w:eastAsia="zh-CN"/>
        </w:rPr>
        <w:t>响应供应商</w:t>
      </w:r>
      <w:r>
        <w:rPr>
          <w:rFonts w:hint="eastAsia" w:ascii="宋体" w:hAnsi="宋体"/>
          <w:sz w:val="24"/>
        </w:rPr>
        <w:t>，视同认可</w:t>
      </w:r>
      <w:r>
        <w:rPr>
          <w:rFonts w:hint="eastAsia" w:ascii="宋体" w:hAnsi="宋体"/>
          <w:sz w:val="24"/>
          <w:lang w:eastAsia="zh-CN"/>
        </w:rPr>
        <w:t>唱价</w:t>
      </w:r>
      <w:r>
        <w:rPr>
          <w:rFonts w:hint="eastAsia" w:ascii="宋体" w:hAnsi="宋体"/>
          <w:sz w:val="24"/>
        </w:rPr>
        <w:t>结果。</w:t>
      </w:r>
    </w:p>
    <w:p w14:paraId="4FC62B39">
      <w:pPr>
        <w:spacing w:line="360" w:lineRule="auto"/>
        <w:jc w:val="left"/>
        <w:rPr>
          <w:rFonts w:hint="eastAsia" w:eastAsia="宋体"/>
          <w:b/>
          <w:sz w:val="24"/>
          <w:lang w:eastAsia="zh-CN"/>
        </w:rPr>
      </w:pPr>
      <w:bookmarkStart w:id="581" w:name="_Toc482195776"/>
      <w:bookmarkStart w:id="582" w:name="_Toc80869748"/>
      <w:bookmarkStart w:id="583" w:name="_Toc8319"/>
      <w:bookmarkStart w:id="584" w:name="_Toc504741273"/>
      <w:bookmarkStart w:id="585" w:name="_Toc78274975"/>
      <w:bookmarkStart w:id="586" w:name="_Toc82692200"/>
      <w:bookmarkStart w:id="587" w:name="_Toc11922011"/>
      <w:bookmarkStart w:id="588" w:name="_Toc498978650"/>
      <w:bookmarkStart w:id="589" w:name="_Toc71878607"/>
      <w:bookmarkStart w:id="590" w:name="_Toc51416859"/>
      <w:bookmarkStart w:id="591" w:name="_Toc55745680"/>
      <w:bookmarkStart w:id="592" w:name="_Toc51416536"/>
      <w:bookmarkStart w:id="593" w:name="_Toc504122277"/>
      <w:bookmarkStart w:id="594" w:name="_Toc489974554"/>
      <w:bookmarkStart w:id="595" w:name="_Toc503169262"/>
      <w:bookmarkStart w:id="596" w:name="_Toc78444619"/>
      <w:bookmarkStart w:id="597" w:name="_Toc66020775"/>
      <w:bookmarkStart w:id="598" w:name="_Toc75028786"/>
      <w:bookmarkStart w:id="599" w:name="_Toc499278274"/>
      <w:bookmarkStart w:id="600" w:name="_Toc488422460"/>
      <w:bookmarkStart w:id="601" w:name="_Toc69828234"/>
      <w:bookmarkStart w:id="602" w:name="_Toc55671114"/>
      <w:bookmarkStart w:id="603" w:name="_Toc489892976"/>
      <w:bookmarkStart w:id="604" w:name="_Toc487101023"/>
      <w:bookmarkStart w:id="605" w:name="_Toc513652325"/>
      <w:bookmarkStart w:id="606" w:name="_Toc514163577"/>
      <w:bookmarkStart w:id="607" w:name="_Toc515971209"/>
      <w:bookmarkStart w:id="608" w:name="_Toc11873"/>
      <w:bookmarkStart w:id="609" w:name="_Toc490033961"/>
      <w:bookmarkStart w:id="610" w:name="_Toc65680725"/>
      <w:bookmarkStart w:id="611" w:name="_Toc496045545"/>
      <w:bookmarkStart w:id="612" w:name="_Toc91288849"/>
      <w:bookmarkStart w:id="613" w:name="_Toc498265695"/>
      <w:bookmarkStart w:id="614" w:name="_Toc482365848"/>
      <w:bookmarkStart w:id="615" w:name="_Toc77781875"/>
      <w:bookmarkStart w:id="616" w:name="_Toc498079540"/>
      <w:bookmarkStart w:id="617" w:name="_Toc496123833"/>
      <w:bookmarkStart w:id="618" w:name="_Toc23423"/>
      <w:bookmarkStart w:id="619" w:name="_Toc51778297"/>
      <w:bookmarkStart w:id="620" w:name="_Toc482255088"/>
      <w:bookmarkStart w:id="621" w:name="_Toc504062541"/>
      <w:bookmarkStart w:id="622" w:name="_Toc24471640"/>
      <w:bookmarkStart w:id="623" w:name="_Toc82445267"/>
      <w:bookmarkStart w:id="624" w:name="_Toc55911494"/>
      <w:bookmarkStart w:id="625" w:name="_Toc488321030"/>
      <w:bookmarkStart w:id="626" w:name="_Toc496096039"/>
      <w:bookmarkStart w:id="627" w:name="_Toc90148923"/>
      <w:r>
        <w:rPr>
          <w:rFonts w:hint="eastAsia"/>
          <w:b/>
          <w:sz w:val="24"/>
        </w:rPr>
        <w:t>二、</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Pr>
          <w:rFonts w:hint="eastAsia"/>
          <w:b/>
          <w:sz w:val="24"/>
          <w:lang w:eastAsia="zh-CN"/>
        </w:rPr>
        <w:t>评审</w:t>
      </w:r>
    </w:p>
    <w:p w14:paraId="23C7A9B4">
      <w:pPr>
        <w:spacing w:line="360" w:lineRule="auto"/>
        <w:ind w:firstLine="482" w:firstLineChars="200"/>
        <w:rPr>
          <w:rFonts w:ascii="宋体" w:hAnsi="宋体"/>
          <w:b/>
          <w:sz w:val="24"/>
        </w:rPr>
      </w:pPr>
      <w:bookmarkStart w:id="628" w:name="_Toc90148924"/>
      <w:bookmarkStart w:id="629" w:name="_Toc91288850"/>
      <w:r>
        <w:rPr>
          <w:rFonts w:hint="eastAsia" w:ascii="宋体" w:hAnsi="宋体"/>
          <w:b/>
          <w:sz w:val="24"/>
        </w:rPr>
        <w:t>（一）</w:t>
      </w:r>
      <w:r>
        <w:rPr>
          <w:rFonts w:hint="eastAsia" w:ascii="宋体" w:hAnsi="宋体"/>
          <w:b/>
          <w:sz w:val="24"/>
          <w:lang w:eastAsia="zh-CN"/>
        </w:rPr>
        <w:t>评审</w:t>
      </w:r>
      <w:r>
        <w:rPr>
          <w:rFonts w:hint="eastAsia" w:ascii="宋体" w:hAnsi="宋体"/>
          <w:b/>
          <w:sz w:val="24"/>
        </w:rPr>
        <w:t>纪律</w:t>
      </w:r>
      <w:bookmarkEnd w:id="628"/>
      <w:bookmarkEnd w:id="629"/>
    </w:p>
    <w:p w14:paraId="4C1D4F62">
      <w:pPr>
        <w:tabs>
          <w:tab w:val="left" w:pos="900"/>
        </w:tabs>
        <w:adjustRightInd w:val="0"/>
        <w:snapToGrid w:val="0"/>
        <w:spacing w:line="360" w:lineRule="auto"/>
        <w:ind w:firstLine="480" w:firstLineChars="200"/>
        <w:rPr>
          <w:rFonts w:ascii="宋体" w:hAnsi="宋体"/>
          <w:sz w:val="24"/>
        </w:rPr>
      </w:pPr>
      <w:r>
        <w:rPr>
          <w:rFonts w:hint="eastAsia" w:ascii="宋体" w:hAnsi="宋体"/>
          <w:sz w:val="24"/>
        </w:rPr>
        <w:t>1.评审小组成员名单在</w:t>
      </w:r>
      <w:r>
        <w:rPr>
          <w:rFonts w:hint="eastAsia" w:ascii="宋体" w:hAnsi="宋体"/>
          <w:sz w:val="24"/>
          <w:lang w:eastAsia="zh-CN"/>
        </w:rPr>
        <w:t>评审</w:t>
      </w:r>
      <w:r>
        <w:rPr>
          <w:rFonts w:hint="eastAsia" w:ascii="宋体" w:hAnsi="宋体"/>
          <w:sz w:val="24"/>
        </w:rPr>
        <w:t>结果公告前应当保密。评审专家有下列情形之一的，受到邀请应主动提出回避，采购当事人也可以要求该评审专家回避：参加采购活动前3年内与</w:t>
      </w:r>
      <w:r>
        <w:rPr>
          <w:rFonts w:hint="eastAsia" w:ascii="宋体" w:hAnsi="宋体"/>
          <w:sz w:val="24"/>
          <w:lang w:eastAsia="zh-CN"/>
        </w:rPr>
        <w:t>响应供应商</w:t>
      </w:r>
      <w:r>
        <w:rPr>
          <w:rFonts w:hint="eastAsia" w:ascii="宋体" w:hAnsi="宋体"/>
          <w:sz w:val="24"/>
        </w:rPr>
        <w:t>存在劳动关系；参加采购活动前3年内担任</w:t>
      </w:r>
      <w:r>
        <w:rPr>
          <w:rFonts w:hint="eastAsia" w:ascii="宋体" w:hAnsi="宋体"/>
          <w:sz w:val="24"/>
          <w:lang w:eastAsia="zh-CN"/>
        </w:rPr>
        <w:t>响应供应商</w:t>
      </w:r>
      <w:r>
        <w:rPr>
          <w:rFonts w:hint="eastAsia" w:ascii="宋体" w:hAnsi="宋体"/>
          <w:sz w:val="24"/>
        </w:rPr>
        <w:t>的董事或监事；参加采购活动前3年内是</w:t>
      </w:r>
      <w:r>
        <w:rPr>
          <w:rFonts w:hint="eastAsia" w:ascii="宋体" w:hAnsi="宋体"/>
          <w:sz w:val="24"/>
          <w:lang w:eastAsia="zh-CN"/>
        </w:rPr>
        <w:t>响应供应商</w:t>
      </w:r>
      <w:r>
        <w:rPr>
          <w:rFonts w:hint="eastAsia" w:ascii="宋体" w:hAnsi="宋体"/>
          <w:sz w:val="24"/>
        </w:rPr>
        <w:t>的控股股东或者实际控制人；与</w:t>
      </w:r>
      <w:r>
        <w:rPr>
          <w:rFonts w:hint="eastAsia" w:ascii="宋体" w:hAnsi="宋体"/>
          <w:sz w:val="24"/>
          <w:lang w:eastAsia="zh-CN"/>
        </w:rPr>
        <w:t>响应供应商</w:t>
      </w:r>
      <w:r>
        <w:rPr>
          <w:rFonts w:hint="eastAsia" w:ascii="宋体" w:hAnsi="宋体"/>
          <w:sz w:val="24"/>
        </w:rPr>
        <w:t>的法定代表人或者负责人有夫妻、直系血亲、三代以内旁系血亲或者近姻亲关系；与</w:t>
      </w:r>
      <w:r>
        <w:rPr>
          <w:rFonts w:hint="eastAsia" w:ascii="宋体" w:hAnsi="宋体"/>
          <w:sz w:val="24"/>
          <w:lang w:eastAsia="zh-CN"/>
        </w:rPr>
        <w:t>响应供应商</w:t>
      </w:r>
      <w:r>
        <w:rPr>
          <w:rFonts w:hint="eastAsia" w:ascii="宋体" w:hAnsi="宋体"/>
          <w:sz w:val="24"/>
        </w:rPr>
        <w:t>有其他可能影响采购活动公平、公正进行的关系。</w:t>
      </w:r>
    </w:p>
    <w:p w14:paraId="07EB34D7">
      <w:pPr>
        <w:tabs>
          <w:tab w:val="left" w:pos="900"/>
        </w:tabs>
        <w:adjustRightInd w:val="0"/>
        <w:snapToGrid w:val="0"/>
        <w:spacing w:line="360" w:lineRule="auto"/>
        <w:ind w:firstLine="480" w:firstLineChars="200"/>
        <w:rPr>
          <w:rFonts w:ascii="宋体" w:hAnsi="宋体"/>
          <w:sz w:val="24"/>
        </w:rPr>
      </w:pPr>
      <w:r>
        <w:rPr>
          <w:rFonts w:hint="eastAsia" w:ascii="宋体" w:hAnsi="宋体"/>
          <w:sz w:val="24"/>
        </w:rPr>
        <w:t>2.评审小组成员和参与</w:t>
      </w:r>
      <w:r>
        <w:rPr>
          <w:rFonts w:hint="eastAsia" w:ascii="宋体" w:hAnsi="宋体"/>
          <w:sz w:val="24"/>
          <w:lang w:eastAsia="zh-CN"/>
        </w:rPr>
        <w:t>评审</w:t>
      </w:r>
      <w:r>
        <w:rPr>
          <w:rFonts w:hint="eastAsia" w:ascii="宋体" w:hAnsi="宋体"/>
          <w:sz w:val="24"/>
        </w:rPr>
        <w:t>的有关工作人员不得透露对</w:t>
      </w:r>
      <w:r>
        <w:rPr>
          <w:rFonts w:hint="eastAsia" w:ascii="宋体" w:hAnsi="宋体"/>
          <w:sz w:val="24"/>
          <w:lang w:eastAsia="zh-CN"/>
        </w:rPr>
        <w:t>响应文件</w:t>
      </w:r>
      <w:r>
        <w:rPr>
          <w:rFonts w:hint="eastAsia" w:ascii="宋体" w:hAnsi="宋体"/>
          <w:sz w:val="24"/>
        </w:rPr>
        <w:t>的评审内容、</w:t>
      </w:r>
      <w:r>
        <w:rPr>
          <w:rFonts w:hint="eastAsia" w:ascii="宋体" w:hAnsi="宋体"/>
          <w:sz w:val="24"/>
          <w:lang w:eastAsia="zh-CN"/>
        </w:rPr>
        <w:t>成交候选供应商</w:t>
      </w:r>
      <w:r>
        <w:rPr>
          <w:rFonts w:hint="eastAsia" w:ascii="宋体" w:hAnsi="宋体"/>
          <w:sz w:val="24"/>
        </w:rPr>
        <w:t>的推荐情况以及与</w:t>
      </w:r>
      <w:r>
        <w:rPr>
          <w:rFonts w:hint="eastAsia" w:ascii="宋体" w:hAnsi="宋体"/>
          <w:sz w:val="24"/>
          <w:lang w:eastAsia="zh-CN"/>
        </w:rPr>
        <w:t>评审</w:t>
      </w:r>
      <w:r>
        <w:rPr>
          <w:rFonts w:hint="eastAsia" w:ascii="宋体" w:hAnsi="宋体"/>
          <w:sz w:val="24"/>
        </w:rPr>
        <w:t>有关的其他情况。</w:t>
      </w:r>
    </w:p>
    <w:p w14:paraId="60D81995">
      <w:pPr>
        <w:spacing w:line="360" w:lineRule="auto"/>
        <w:ind w:firstLine="482" w:firstLineChars="200"/>
        <w:rPr>
          <w:rFonts w:ascii="宋体" w:hAnsi="宋体"/>
          <w:b/>
          <w:sz w:val="24"/>
        </w:rPr>
      </w:pPr>
      <w:bookmarkStart w:id="630" w:name="_Toc91288851"/>
      <w:bookmarkStart w:id="631" w:name="_Toc90148925"/>
      <w:r>
        <w:rPr>
          <w:rFonts w:hint="eastAsia" w:ascii="宋体" w:hAnsi="宋体"/>
          <w:b/>
          <w:sz w:val="24"/>
        </w:rPr>
        <w:t>（二）</w:t>
      </w:r>
      <w:r>
        <w:rPr>
          <w:rFonts w:hint="eastAsia" w:ascii="宋体" w:hAnsi="宋体"/>
          <w:b/>
          <w:sz w:val="24"/>
          <w:lang w:eastAsia="zh-CN"/>
        </w:rPr>
        <w:t>评审</w:t>
      </w:r>
      <w:r>
        <w:rPr>
          <w:rFonts w:hint="eastAsia" w:ascii="宋体" w:hAnsi="宋体"/>
          <w:b/>
          <w:sz w:val="24"/>
        </w:rPr>
        <w:t>原则</w:t>
      </w:r>
      <w:bookmarkEnd w:id="630"/>
      <w:bookmarkEnd w:id="631"/>
    </w:p>
    <w:p w14:paraId="0C8222FF">
      <w:pPr>
        <w:spacing w:line="360" w:lineRule="auto"/>
        <w:ind w:firstLine="480" w:firstLineChars="200"/>
        <w:rPr>
          <w:rFonts w:ascii="宋体" w:hAnsi="宋体"/>
          <w:sz w:val="24"/>
        </w:rPr>
      </w:pPr>
      <w:r>
        <w:rPr>
          <w:rFonts w:hint="eastAsia" w:ascii="宋体" w:hAnsi="宋体"/>
          <w:sz w:val="24"/>
          <w:lang w:eastAsia="zh-CN"/>
        </w:rPr>
        <w:t>评审</w:t>
      </w:r>
      <w:r>
        <w:rPr>
          <w:rFonts w:hint="eastAsia" w:ascii="宋体" w:hAnsi="宋体"/>
          <w:sz w:val="24"/>
        </w:rPr>
        <w:t>工作遵循“公平、公正、科学、择优”的原则。评审小组有权根据有关规定否决所有</w:t>
      </w:r>
      <w:r>
        <w:rPr>
          <w:rFonts w:hint="eastAsia" w:ascii="宋体" w:hAnsi="宋体"/>
          <w:sz w:val="24"/>
          <w:lang w:eastAsia="zh-CN"/>
        </w:rPr>
        <w:t>响应</w:t>
      </w:r>
      <w:r>
        <w:rPr>
          <w:rFonts w:hint="eastAsia" w:ascii="宋体" w:hAnsi="宋体"/>
          <w:sz w:val="24"/>
        </w:rPr>
        <w:t>。</w:t>
      </w:r>
    </w:p>
    <w:p w14:paraId="3BBA87E4">
      <w:pPr>
        <w:spacing w:line="360" w:lineRule="auto"/>
        <w:ind w:firstLine="482" w:firstLineChars="200"/>
        <w:rPr>
          <w:rFonts w:ascii="宋体" w:hAnsi="宋体"/>
          <w:b/>
          <w:sz w:val="24"/>
        </w:rPr>
      </w:pPr>
      <w:bookmarkStart w:id="632" w:name="_Toc90148926"/>
      <w:bookmarkStart w:id="633" w:name="_Toc91288852"/>
      <w:r>
        <w:rPr>
          <w:rFonts w:hint="eastAsia" w:ascii="宋体" w:hAnsi="宋体"/>
          <w:b/>
          <w:sz w:val="24"/>
        </w:rPr>
        <w:t>（三）</w:t>
      </w:r>
      <w:r>
        <w:rPr>
          <w:rFonts w:hint="eastAsia" w:ascii="宋体" w:hAnsi="宋体"/>
          <w:b/>
          <w:sz w:val="24"/>
          <w:lang w:eastAsia="zh-CN"/>
        </w:rPr>
        <w:t>评审</w:t>
      </w:r>
      <w:r>
        <w:rPr>
          <w:rFonts w:hint="eastAsia" w:ascii="宋体" w:hAnsi="宋体"/>
          <w:b/>
          <w:sz w:val="24"/>
        </w:rPr>
        <w:t>责任</w:t>
      </w:r>
      <w:bookmarkEnd w:id="632"/>
      <w:bookmarkEnd w:id="633"/>
    </w:p>
    <w:p w14:paraId="5BC81C3B">
      <w:pPr>
        <w:spacing w:line="360" w:lineRule="auto"/>
        <w:ind w:firstLine="480" w:firstLineChars="200"/>
        <w:rPr>
          <w:rFonts w:ascii="宋体" w:hAnsi="宋体"/>
          <w:sz w:val="24"/>
        </w:rPr>
      </w:pPr>
      <w:r>
        <w:rPr>
          <w:rFonts w:hint="eastAsia" w:ascii="宋体" w:hAnsi="宋体"/>
          <w:sz w:val="24"/>
        </w:rPr>
        <w:t>1.评审小组负责项目具体评审事务，并独立履行下列职责：审查、评审</w:t>
      </w:r>
      <w:r>
        <w:rPr>
          <w:rFonts w:hint="eastAsia" w:ascii="宋体" w:hAnsi="宋体"/>
          <w:sz w:val="24"/>
          <w:lang w:eastAsia="zh-CN"/>
        </w:rPr>
        <w:t>响应文件</w:t>
      </w:r>
      <w:r>
        <w:rPr>
          <w:rFonts w:hint="eastAsia" w:ascii="宋体" w:hAnsi="宋体"/>
          <w:sz w:val="24"/>
        </w:rPr>
        <w:t>是否符合</w:t>
      </w:r>
      <w:r>
        <w:rPr>
          <w:rFonts w:hint="eastAsia" w:ascii="宋体" w:hAnsi="宋体"/>
          <w:sz w:val="24"/>
          <w:lang w:eastAsia="zh-CN"/>
        </w:rPr>
        <w:t>遴选文件</w:t>
      </w:r>
      <w:r>
        <w:rPr>
          <w:rFonts w:hint="eastAsia" w:ascii="宋体" w:hAnsi="宋体"/>
          <w:sz w:val="24"/>
        </w:rPr>
        <w:t>的商务、技术等实质性要求；要求</w:t>
      </w:r>
      <w:r>
        <w:rPr>
          <w:rFonts w:hint="eastAsia" w:ascii="宋体" w:hAnsi="宋体"/>
          <w:sz w:val="24"/>
          <w:lang w:eastAsia="zh-CN"/>
        </w:rPr>
        <w:t>响应供应商</w:t>
      </w:r>
      <w:r>
        <w:rPr>
          <w:rFonts w:hint="eastAsia" w:ascii="宋体" w:hAnsi="宋体"/>
          <w:sz w:val="24"/>
        </w:rPr>
        <w:t>对</w:t>
      </w:r>
      <w:r>
        <w:rPr>
          <w:rFonts w:hint="eastAsia" w:ascii="宋体" w:hAnsi="宋体"/>
          <w:sz w:val="24"/>
          <w:lang w:eastAsia="zh-CN"/>
        </w:rPr>
        <w:t>响应文件</w:t>
      </w:r>
      <w:r>
        <w:rPr>
          <w:rFonts w:hint="eastAsia" w:ascii="宋体" w:hAnsi="宋体"/>
          <w:sz w:val="24"/>
        </w:rPr>
        <w:t>有关事项作出澄清或者说明；对</w:t>
      </w:r>
      <w:r>
        <w:rPr>
          <w:rFonts w:hint="eastAsia" w:ascii="宋体" w:hAnsi="宋体"/>
          <w:sz w:val="24"/>
          <w:lang w:eastAsia="zh-CN"/>
        </w:rPr>
        <w:t>响应文件</w:t>
      </w:r>
      <w:r>
        <w:rPr>
          <w:rFonts w:hint="eastAsia" w:ascii="宋体" w:hAnsi="宋体"/>
          <w:sz w:val="24"/>
        </w:rPr>
        <w:t>进行评审；确定</w:t>
      </w:r>
      <w:r>
        <w:rPr>
          <w:rFonts w:hint="eastAsia" w:ascii="宋体" w:hAnsi="宋体"/>
          <w:sz w:val="24"/>
          <w:lang w:eastAsia="zh-CN"/>
        </w:rPr>
        <w:t>成交候选供应商</w:t>
      </w:r>
      <w:r>
        <w:rPr>
          <w:rFonts w:hint="eastAsia" w:ascii="宋体" w:hAnsi="宋体"/>
          <w:sz w:val="24"/>
        </w:rPr>
        <w:t>名单；向采购人、</w:t>
      </w:r>
      <w:r>
        <w:rPr>
          <w:rFonts w:hint="eastAsia" w:ascii="宋体" w:hAnsi="宋体"/>
          <w:sz w:val="24"/>
          <w:lang w:eastAsia="zh-CN"/>
        </w:rPr>
        <w:t>遴选服务单位</w:t>
      </w:r>
      <w:r>
        <w:rPr>
          <w:rFonts w:hint="eastAsia" w:ascii="宋体" w:hAnsi="宋体"/>
          <w:sz w:val="24"/>
        </w:rPr>
        <w:t>或者有关部门报告</w:t>
      </w:r>
      <w:r>
        <w:rPr>
          <w:rFonts w:hint="eastAsia" w:ascii="宋体" w:hAnsi="宋体"/>
          <w:sz w:val="24"/>
          <w:lang w:eastAsia="zh-CN"/>
        </w:rPr>
        <w:t>评审</w:t>
      </w:r>
      <w:r>
        <w:rPr>
          <w:rFonts w:hint="eastAsia" w:ascii="宋体" w:hAnsi="宋体"/>
          <w:sz w:val="24"/>
        </w:rPr>
        <w:t>中发现的违法行为。</w:t>
      </w:r>
    </w:p>
    <w:p w14:paraId="74B0DE21">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eastAsia="zh-CN"/>
        </w:rPr>
        <w:t>响应文件</w:t>
      </w:r>
      <w:r>
        <w:rPr>
          <w:rFonts w:hint="eastAsia" w:ascii="宋体" w:hAnsi="宋体"/>
          <w:sz w:val="24"/>
        </w:rPr>
        <w:t>报价出现前后不一致的，按照下列规定修正：</w:t>
      </w:r>
      <w:r>
        <w:rPr>
          <w:rFonts w:hint="eastAsia" w:ascii="宋体" w:hAnsi="宋体"/>
          <w:sz w:val="24"/>
          <w:lang w:eastAsia="zh-CN"/>
        </w:rPr>
        <w:t>响应文件</w:t>
      </w:r>
      <w:r>
        <w:rPr>
          <w:rFonts w:hint="eastAsia" w:ascii="宋体" w:hAnsi="宋体"/>
          <w:sz w:val="24"/>
        </w:rPr>
        <w:t>中</w:t>
      </w:r>
      <w:r>
        <w:rPr>
          <w:rFonts w:hint="eastAsia" w:ascii="宋体" w:hAnsi="宋体"/>
          <w:sz w:val="24"/>
          <w:lang w:eastAsia="zh-CN"/>
        </w:rPr>
        <w:t>报价</w:t>
      </w:r>
      <w:r>
        <w:rPr>
          <w:rFonts w:hint="eastAsia" w:ascii="宋体" w:hAnsi="宋体"/>
          <w:sz w:val="24"/>
        </w:rPr>
        <w:t>一览表（报价表）内容与</w:t>
      </w:r>
      <w:r>
        <w:rPr>
          <w:rFonts w:hint="eastAsia" w:ascii="宋体" w:hAnsi="宋体"/>
          <w:sz w:val="24"/>
          <w:lang w:eastAsia="zh-CN"/>
        </w:rPr>
        <w:t>响应文件</w:t>
      </w:r>
      <w:r>
        <w:rPr>
          <w:rFonts w:hint="eastAsia" w:ascii="宋体" w:hAnsi="宋体"/>
          <w:sz w:val="24"/>
        </w:rPr>
        <w:t>中相应内容不一致的，以</w:t>
      </w:r>
      <w:r>
        <w:rPr>
          <w:rFonts w:hint="eastAsia" w:ascii="宋体" w:hAnsi="宋体"/>
          <w:sz w:val="24"/>
          <w:lang w:eastAsia="zh-CN"/>
        </w:rPr>
        <w:t>报价</w:t>
      </w:r>
      <w:r>
        <w:rPr>
          <w:rFonts w:hint="eastAsia" w:ascii="宋体" w:hAnsi="宋体"/>
          <w:sz w:val="24"/>
        </w:rPr>
        <w:t>一览表（报价表）为准；大写金额和小写金额不一致的，以大写金额为准；单价金额小数点或者百分比有明显错位的，以</w:t>
      </w:r>
      <w:r>
        <w:rPr>
          <w:rFonts w:hint="eastAsia" w:ascii="宋体" w:hAnsi="宋体"/>
          <w:sz w:val="24"/>
          <w:lang w:eastAsia="zh-CN"/>
        </w:rPr>
        <w:t>报价</w:t>
      </w:r>
      <w:r>
        <w:rPr>
          <w:rFonts w:hint="eastAsia" w:ascii="宋体" w:hAnsi="宋体"/>
          <w:sz w:val="24"/>
        </w:rPr>
        <w:t>一览表的总价为准，并修改单价；总价金额与按单价汇总金额不一致的，以单价金额计算结果为准；</w:t>
      </w:r>
      <w:r>
        <w:rPr>
          <w:rFonts w:hint="eastAsia" w:ascii="宋体" w:hAnsi="宋体"/>
          <w:sz w:val="24"/>
          <w:lang w:eastAsia="zh-CN"/>
        </w:rPr>
        <w:t>报价</w:t>
      </w:r>
      <w:r>
        <w:rPr>
          <w:rFonts w:hint="eastAsia" w:ascii="宋体" w:hAnsi="宋体"/>
          <w:sz w:val="24"/>
        </w:rPr>
        <w:t>信封内包装的资料内容与</w:t>
      </w:r>
      <w:r>
        <w:rPr>
          <w:rFonts w:hint="eastAsia" w:ascii="宋体" w:hAnsi="宋体"/>
          <w:sz w:val="24"/>
          <w:lang w:eastAsia="zh-CN"/>
        </w:rPr>
        <w:t>响应文件</w:t>
      </w:r>
      <w:r>
        <w:rPr>
          <w:rFonts w:hint="eastAsia" w:ascii="宋体" w:hAnsi="宋体"/>
          <w:sz w:val="24"/>
        </w:rPr>
        <w:t>正本不一致时，以</w:t>
      </w:r>
      <w:r>
        <w:rPr>
          <w:rFonts w:hint="eastAsia" w:ascii="宋体" w:hAnsi="宋体"/>
          <w:sz w:val="24"/>
          <w:lang w:eastAsia="zh-CN"/>
        </w:rPr>
        <w:t>响应文件</w:t>
      </w:r>
      <w:r>
        <w:rPr>
          <w:rFonts w:hint="eastAsia" w:ascii="宋体" w:hAnsi="宋体"/>
          <w:sz w:val="24"/>
        </w:rPr>
        <w:t>正本为准。</w:t>
      </w:r>
    </w:p>
    <w:p w14:paraId="52D3E7D7">
      <w:pPr>
        <w:widowControl/>
        <w:spacing w:line="360" w:lineRule="auto"/>
        <w:ind w:firstLine="442" w:firstLineChars="200"/>
        <w:jc w:val="left"/>
        <w:rPr>
          <w:rFonts w:cs="宋体" w:asciiTheme="minorEastAsia" w:hAnsiTheme="minorEastAsia" w:eastAsiaTheme="minorEastAsia"/>
          <w:b/>
          <w:sz w:val="22"/>
          <w:szCs w:val="24"/>
        </w:rPr>
      </w:pPr>
      <w:r>
        <w:rPr>
          <w:rFonts w:hint="eastAsia" w:cs="宋体" w:asciiTheme="minorEastAsia" w:hAnsiTheme="minorEastAsia" w:eastAsiaTheme="minorEastAsia"/>
          <w:b/>
          <w:sz w:val="22"/>
          <w:szCs w:val="24"/>
          <w:lang w:eastAsia="zh-TW"/>
        </w:rPr>
        <w:t>同时出现两种以上不一致的，按照前款规定的顺序修正</w:t>
      </w:r>
      <w:r>
        <w:rPr>
          <w:rFonts w:hint="eastAsia" w:cs="宋体" w:asciiTheme="minorEastAsia" w:hAnsiTheme="minorEastAsia" w:eastAsiaTheme="minorEastAsia"/>
          <w:b/>
          <w:sz w:val="22"/>
          <w:szCs w:val="24"/>
        </w:rPr>
        <w:t>并</w:t>
      </w:r>
      <w:r>
        <w:rPr>
          <w:rFonts w:hint="eastAsia" w:cs="宋体" w:asciiTheme="minorEastAsia" w:hAnsiTheme="minorEastAsia" w:eastAsiaTheme="minorEastAsia"/>
          <w:b/>
          <w:sz w:val="22"/>
          <w:szCs w:val="24"/>
          <w:lang w:eastAsia="zh-TW"/>
        </w:rPr>
        <w:t>由</w:t>
      </w:r>
      <w:r>
        <w:rPr>
          <w:rFonts w:hint="eastAsia" w:cs="宋体" w:asciiTheme="minorEastAsia" w:hAnsiTheme="minorEastAsia" w:eastAsiaTheme="minorEastAsia"/>
          <w:b/>
          <w:sz w:val="22"/>
          <w:szCs w:val="24"/>
          <w:lang w:eastAsia="zh-CN"/>
        </w:rPr>
        <w:t>响应供应商</w:t>
      </w:r>
      <w:r>
        <w:rPr>
          <w:rFonts w:hint="eastAsia" w:cs="宋体" w:asciiTheme="minorEastAsia" w:hAnsiTheme="minorEastAsia" w:eastAsiaTheme="minorEastAsia"/>
          <w:b/>
          <w:sz w:val="22"/>
          <w:szCs w:val="24"/>
          <w:lang w:eastAsia="zh-TW"/>
        </w:rPr>
        <w:t>授权代表签字确认，如</w:t>
      </w:r>
      <w:r>
        <w:rPr>
          <w:rFonts w:hint="eastAsia" w:cs="宋体" w:asciiTheme="minorEastAsia" w:hAnsiTheme="minorEastAsia" w:eastAsiaTheme="minorEastAsia"/>
          <w:b/>
          <w:sz w:val="22"/>
          <w:szCs w:val="24"/>
          <w:lang w:eastAsia="zh-CN"/>
        </w:rPr>
        <w:t>响应供应商</w:t>
      </w:r>
      <w:r>
        <w:rPr>
          <w:rFonts w:hint="eastAsia" w:cs="宋体" w:asciiTheme="minorEastAsia" w:hAnsiTheme="minorEastAsia" w:eastAsiaTheme="minorEastAsia"/>
          <w:b/>
          <w:sz w:val="22"/>
          <w:szCs w:val="24"/>
        </w:rPr>
        <w:t>不</w:t>
      </w:r>
      <w:r>
        <w:rPr>
          <w:rFonts w:hint="eastAsia" w:cs="宋体" w:asciiTheme="minorEastAsia" w:hAnsiTheme="minorEastAsia" w:eastAsiaTheme="minorEastAsia"/>
          <w:b/>
          <w:sz w:val="22"/>
          <w:szCs w:val="24"/>
          <w:lang w:eastAsia="zh-TW"/>
        </w:rPr>
        <w:t>做确认的</w:t>
      </w:r>
      <w:r>
        <w:rPr>
          <w:rFonts w:hint="eastAsia" w:cs="宋体" w:asciiTheme="minorEastAsia" w:hAnsiTheme="minorEastAsia" w:eastAsiaTheme="minorEastAsia"/>
          <w:b/>
          <w:sz w:val="22"/>
          <w:szCs w:val="24"/>
        </w:rPr>
        <w:t>，</w:t>
      </w:r>
      <w:r>
        <w:rPr>
          <w:rFonts w:hint="eastAsia" w:cs="宋体" w:asciiTheme="minorEastAsia" w:hAnsiTheme="minorEastAsia" w:eastAsiaTheme="minorEastAsia"/>
          <w:b/>
          <w:sz w:val="22"/>
          <w:szCs w:val="24"/>
          <w:lang w:eastAsia="zh-TW"/>
        </w:rPr>
        <w:t>视为其</w:t>
      </w:r>
      <w:r>
        <w:rPr>
          <w:rFonts w:hint="eastAsia" w:cs="宋体" w:asciiTheme="minorEastAsia" w:hAnsiTheme="minorEastAsia" w:eastAsiaTheme="minorEastAsia"/>
          <w:b/>
          <w:sz w:val="22"/>
          <w:szCs w:val="24"/>
          <w:lang w:eastAsia="zh-CN"/>
        </w:rPr>
        <w:t>响应</w:t>
      </w:r>
      <w:r>
        <w:rPr>
          <w:rFonts w:hint="eastAsia" w:cs="宋体" w:asciiTheme="minorEastAsia" w:hAnsiTheme="minorEastAsia" w:eastAsiaTheme="minorEastAsia"/>
          <w:b/>
          <w:sz w:val="22"/>
          <w:szCs w:val="24"/>
          <w:lang w:eastAsia="zh-TW"/>
        </w:rPr>
        <w:t>无效。</w:t>
      </w:r>
    </w:p>
    <w:p w14:paraId="477CB66E">
      <w:pPr>
        <w:spacing w:line="360" w:lineRule="auto"/>
        <w:ind w:firstLine="480" w:firstLineChars="200"/>
        <w:rPr>
          <w:rFonts w:ascii="宋体" w:hAnsi="宋体"/>
          <w:sz w:val="24"/>
        </w:rPr>
      </w:pPr>
      <w:r>
        <w:rPr>
          <w:rFonts w:hint="eastAsia" w:ascii="宋体" w:hAnsi="宋体"/>
          <w:sz w:val="24"/>
        </w:rPr>
        <w:t>3.评审小组成员对需要共同认定的事项存在争议的，应当按照少数服从多数的原则作出结论。</w:t>
      </w:r>
    </w:p>
    <w:p w14:paraId="4B9B60AD">
      <w:pPr>
        <w:spacing w:line="360" w:lineRule="auto"/>
        <w:ind w:firstLine="482" w:firstLineChars="200"/>
        <w:rPr>
          <w:rFonts w:ascii="宋体" w:hAnsi="宋体"/>
          <w:b/>
          <w:sz w:val="24"/>
        </w:rPr>
      </w:pPr>
      <w:bookmarkStart w:id="634" w:name="_Toc90148927"/>
      <w:bookmarkStart w:id="635" w:name="_Toc91288853"/>
      <w:r>
        <w:rPr>
          <w:rFonts w:hint="eastAsia" w:ascii="宋体" w:hAnsi="宋体"/>
          <w:b/>
          <w:sz w:val="24"/>
        </w:rPr>
        <w:t>（四）</w:t>
      </w:r>
      <w:r>
        <w:rPr>
          <w:rFonts w:hint="eastAsia" w:ascii="宋体" w:hAnsi="宋体"/>
          <w:b/>
          <w:sz w:val="24"/>
          <w:lang w:eastAsia="zh-CN"/>
        </w:rPr>
        <w:t>评审</w:t>
      </w:r>
      <w:r>
        <w:rPr>
          <w:rFonts w:hint="eastAsia" w:ascii="宋体" w:hAnsi="宋体"/>
          <w:b/>
          <w:sz w:val="24"/>
        </w:rPr>
        <w:t>方法及流程</w:t>
      </w:r>
      <w:bookmarkEnd w:id="634"/>
      <w:bookmarkEnd w:id="635"/>
    </w:p>
    <w:p w14:paraId="05226E40">
      <w:pPr>
        <w:spacing w:line="360" w:lineRule="auto"/>
        <w:ind w:firstLine="482" w:firstLineChars="200"/>
        <w:rPr>
          <w:rFonts w:ascii="宋体" w:hAnsi="宋体"/>
          <w:sz w:val="24"/>
        </w:rPr>
      </w:pPr>
      <w:r>
        <w:rPr>
          <w:rFonts w:hint="eastAsia" w:ascii="宋体" w:hAnsi="宋体"/>
          <w:b/>
          <w:sz w:val="24"/>
        </w:rPr>
        <w:t>1.</w:t>
      </w:r>
      <w:r>
        <w:rPr>
          <w:rFonts w:hint="eastAsia" w:ascii="宋体" w:hAnsi="宋体"/>
          <w:b/>
          <w:sz w:val="24"/>
          <w:lang w:eastAsia="zh-CN"/>
        </w:rPr>
        <w:t>评审</w:t>
      </w:r>
      <w:r>
        <w:rPr>
          <w:rFonts w:ascii="宋体" w:hAnsi="宋体"/>
          <w:b/>
          <w:sz w:val="24"/>
        </w:rPr>
        <w:t>方法。</w:t>
      </w:r>
      <w:r>
        <w:rPr>
          <w:rFonts w:hint="eastAsia" w:ascii="宋体" w:hAnsi="宋体"/>
          <w:sz w:val="24"/>
        </w:rPr>
        <w:t>本项目采用</w:t>
      </w:r>
      <w:r>
        <w:rPr>
          <w:rFonts w:hint="eastAsia" w:ascii="宋体" w:hAnsi="宋体"/>
          <w:b/>
          <w:sz w:val="24"/>
        </w:rPr>
        <w:t>综合评分法</w:t>
      </w:r>
      <w:r>
        <w:rPr>
          <w:rFonts w:hint="eastAsia" w:ascii="宋体" w:hAnsi="宋体"/>
          <w:sz w:val="24"/>
        </w:rPr>
        <w:t>。指</w:t>
      </w:r>
      <w:r>
        <w:rPr>
          <w:rFonts w:hint="eastAsia" w:ascii="宋体" w:hAnsi="宋体"/>
          <w:sz w:val="24"/>
          <w:lang w:eastAsia="zh-CN"/>
        </w:rPr>
        <w:t>响应文件</w:t>
      </w:r>
      <w:r>
        <w:rPr>
          <w:rFonts w:hint="eastAsia" w:ascii="宋体" w:hAnsi="宋体"/>
          <w:sz w:val="24"/>
        </w:rPr>
        <w:t>满足</w:t>
      </w:r>
      <w:r>
        <w:rPr>
          <w:rFonts w:hint="eastAsia" w:ascii="宋体" w:hAnsi="宋体"/>
          <w:sz w:val="24"/>
          <w:lang w:eastAsia="zh-CN"/>
        </w:rPr>
        <w:t>遴选文件</w:t>
      </w:r>
      <w:r>
        <w:rPr>
          <w:rFonts w:hint="eastAsia" w:ascii="宋体" w:hAnsi="宋体"/>
          <w:sz w:val="24"/>
        </w:rPr>
        <w:t>全部实质性要求，且按照评审因素的指标评审得分最高的</w:t>
      </w:r>
      <w:r>
        <w:rPr>
          <w:rFonts w:hint="eastAsia" w:ascii="宋体" w:hAnsi="宋体"/>
          <w:sz w:val="24"/>
          <w:lang w:eastAsia="zh-CN"/>
        </w:rPr>
        <w:t>响应供应商</w:t>
      </w:r>
      <w:r>
        <w:rPr>
          <w:rFonts w:hint="eastAsia" w:ascii="宋体" w:hAnsi="宋体"/>
          <w:sz w:val="24"/>
        </w:rPr>
        <w:t>为</w:t>
      </w:r>
      <w:r>
        <w:rPr>
          <w:rFonts w:hint="eastAsia" w:ascii="宋体" w:hAnsi="宋体"/>
          <w:sz w:val="24"/>
          <w:lang w:eastAsia="zh-CN"/>
        </w:rPr>
        <w:t>成交候选供应商</w:t>
      </w:r>
      <w:r>
        <w:rPr>
          <w:rFonts w:hint="eastAsia" w:ascii="宋体" w:hAnsi="宋体"/>
          <w:sz w:val="24"/>
        </w:rPr>
        <w:t>的</w:t>
      </w:r>
      <w:r>
        <w:rPr>
          <w:rFonts w:hint="eastAsia" w:ascii="宋体" w:hAnsi="宋体"/>
          <w:sz w:val="24"/>
          <w:lang w:eastAsia="zh-CN"/>
        </w:rPr>
        <w:t>评审</w:t>
      </w:r>
      <w:r>
        <w:rPr>
          <w:rFonts w:hint="eastAsia" w:ascii="宋体" w:hAnsi="宋体"/>
          <w:sz w:val="24"/>
        </w:rPr>
        <w:t>方法。</w:t>
      </w:r>
    </w:p>
    <w:p w14:paraId="147019C7">
      <w:pPr>
        <w:spacing w:line="360" w:lineRule="auto"/>
        <w:ind w:firstLine="480" w:firstLineChars="200"/>
        <w:rPr>
          <w:rFonts w:ascii="宋体" w:hAnsi="宋体"/>
          <w:sz w:val="24"/>
        </w:rPr>
      </w:pPr>
      <w:r>
        <w:rPr>
          <w:rFonts w:hint="eastAsia" w:ascii="宋体" w:hAnsi="宋体"/>
          <w:sz w:val="24"/>
        </w:rPr>
        <w:t>2.资格性、符合性审查</w:t>
      </w:r>
    </w:p>
    <w:p w14:paraId="60D4070F">
      <w:pPr>
        <w:spacing w:line="360" w:lineRule="auto"/>
        <w:ind w:firstLine="480" w:firstLineChars="200"/>
        <w:rPr>
          <w:rFonts w:ascii="宋体" w:hAnsi="宋体"/>
          <w:sz w:val="24"/>
        </w:rPr>
      </w:pPr>
      <w:r>
        <w:rPr>
          <w:rFonts w:hint="eastAsia" w:ascii="宋体" w:hAnsi="宋体"/>
          <w:sz w:val="24"/>
        </w:rPr>
        <w:t>2.1唱</w:t>
      </w:r>
      <w:r>
        <w:rPr>
          <w:rFonts w:hint="eastAsia" w:ascii="宋体" w:hAnsi="宋体"/>
          <w:sz w:val="24"/>
          <w:lang w:val="en-US" w:eastAsia="zh-CN"/>
        </w:rPr>
        <w:t>价</w:t>
      </w:r>
      <w:r>
        <w:rPr>
          <w:rFonts w:hint="eastAsia" w:ascii="宋体" w:hAnsi="宋体"/>
          <w:sz w:val="24"/>
        </w:rPr>
        <w:t>结束后，评审小组依法对</w:t>
      </w:r>
      <w:r>
        <w:rPr>
          <w:rFonts w:hint="eastAsia" w:ascii="宋体" w:hAnsi="宋体"/>
          <w:sz w:val="24"/>
          <w:lang w:eastAsia="zh-CN"/>
        </w:rPr>
        <w:t>响应供应商</w:t>
      </w:r>
      <w:r>
        <w:rPr>
          <w:rFonts w:hint="eastAsia" w:ascii="宋体" w:hAnsi="宋体"/>
          <w:sz w:val="24"/>
        </w:rPr>
        <w:t>的资格性、符合性进行审查，详见《资格性、符合性审查表》。对被认定为不合格的</w:t>
      </w:r>
      <w:r>
        <w:rPr>
          <w:rFonts w:hint="eastAsia" w:ascii="宋体" w:hAnsi="宋体"/>
          <w:sz w:val="24"/>
          <w:lang w:eastAsia="zh-CN"/>
        </w:rPr>
        <w:t>响应供应商</w:t>
      </w:r>
      <w:r>
        <w:rPr>
          <w:rFonts w:hint="eastAsia" w:ascii="宋体" w:hAnsi="宋体"/>
          <w:sz w:val="24"/>
        </w:rPr>
        <w:t>，由评审小组组长或采购人代表将集体意见现场及时告知</w:t>
      </w:r>
      <w:r>
        <w:rPr>
          <w:rFonts w:hint="eastAsia" w:ascii="宋体" w:hAnsi="宋体"/>
          <w:sz w:val="24"/>
          <w:lang w:eastAsia="zh-CN"/>
        </w:rPr>
        <w:t>响应供应商</w:t>
      </w:r>
      <w:r>
        <w:rPr>
          <w:rFonts w:hint="eastAsia" w:ascii="宋体" w:hAnsi="宋体"/>
          <w:sz w:val="24"/>
        </w:rPr>
        <w:t>当事人，以让其核证、澄清事实。未通过资格性、符合性审查的</w:t>
      </w:r>
      <w:r>
        <w:rPr>
          <w:rFonts w:hint="eastAsia" w:ascii="宋体" w:hAnsi="宋体"/>
          <w:sz w:val="24"/>
          <w:lang w:eastAsia="zh-CN"/>
        </w:rPr>
        <w:t>响应供应商</w:t>
      </w:r>
      <w:r>
        <w:rPr>
          <w:rFonts w:hint="eastAsia" w:ascii="宋体" w:hAnsi="宋体"/>
          <w:sz w:val="24"/>
        </w:rPr>
        <w:t>，不进入下一阶段的技术、商务和价格评审。</w:t>
      </w:r>
    </w:p>
    <w:p w14:paraId="369FF329">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val="en-US" w:eastAsia="zh-CN"/>
        </w:rPr>
        <w:t>2</w:t>
      </w:r>
      <w:r>
        <w:rPr>
          <w:rFonts w:ascii="宋体" w:hAnsi="宋体"/>
          <w:sz w:val="24"/>
        </w:rPr>
        <w:t>响应无效的认定</w:t>
      </w:r>
    </w:p>
    <w:p w14:paraId="2C5D6E7E">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eastAsia="zh-CN"/>
        </w:rPr>
        <w:t>响应供应商</w:t>
      </w:r>
      <w:r>
        <w:rPr>
          <w:rFonts w:hint="eastAsia" w:ascii="宋体" w:hAnsi="宋体"/>
          <w:sz w:val="24"/>
        </w:rPr>
        <w:t>有下列情况之一的，其响应将被视为无效：</w:t>
      </w:r>
      <w:r>
        <w:rPr>
          <w:rFonts w:hint="eastAsia" w:ascii="宋体" w:hAnsi="宋体"/>
          <w:sz w:val="24"/>
          <w:lang w:eastAsia="zh-CN"/>
        </w:rPr>
        <w:t>响应文件</w:t>
      </w:r>
      <w:r>
        <w:rPr>
          <w:rFonts w:hint="eastAsia" w:ascii="宋体" w:hAnsi="宋体"/>
          <w:sz w:val="24"/>
        </w:rPr>
        <w:t>未按采购文件要求签署、盖章的；不具备采购文件中规定的资格要求的；报价超过采购文件中规定的预算金额或者最高限价的；</w:t>
      </w:r>
      <w:r>
        <w:rPr>
          <w:rFonts w:hint="eastAsia" w:ascii="宋体" w:hAnsi="宋体"/>
          <w:sz w:val="24"/>
          <w:lang w:eastAsia="zh-CN"/>
        </w:rPr>
        <w:t>响应文件</w:t>
      </w:r>
      <w:r>
        <w:rPr>
          <w:rFonts w:hint="eastAsia" w:ascii="宋体" w:hAnsi="宋体"/>
          <w:sz w:val="24"/>
        </w:rPr>
        <w:t>含有采购人不能接受的附加条件的；法律、法规和采购文件规定的其他无效情形。</w:t>
      </w:r>
    </w:p>
    <w:p w14:paraId="50A71ABA">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eastAsia="zh-CN"/>
        </w:rPr>
        <w:t>响应供应商</w:t>
      </w:r>
      <w:r>
        <w:rPr>
          <w:rFonts w:hint="eastAsia" w:ascii="宋体" w:hAnsi="宋体"/>
          <w:sz w:val="24"/>
        </w:rPr>
        <w:t>有下列情形之一的，视为串通响应，其响应无效：</w:t>
      </w:r>
      <w:r>
        <w:rPr>
          <w:rFonts w:hint="eastAsia" w:ascii="宋体" w:hAnsi="宋体"/>
          <w:sz w:val="24"/>
          <w:szCs w:val="24"/>
        </w:rPr>
        <w:t>不同</w:t>
      </w:r>
      <w:r>
        <w:rPr>
          <w:rFonts w:hint="eastAsia" w:ascii="宋体" w:hAnsi="宋体"/>
          <w:sz w:val="24"/>
          <w:lang w:eastAsia="zh-CN"/>
        </w:rPr>
        <w:t>响应供应商</w:t>
      </w:r>
      <w:r>
        <w:rPr>
          <w:rFonts w:hint="eastAsia" w:ascii="宋体" w:hAnsi="宋体"/>
          <w:sz w:val="24"/>
          <w:szCs w:val="24"/>
        </w:rPr>
        <w:t>的</w:t>
      </w:r>
      <w:r>
        <w:rPr>
          <w:rFonts w:hint="eastAsia" w:ascii="宋体" w:hAnsi="宋体"/>
          <w:sz w:val="24"/>
          <w:szCs w:val="24"/>
          <w:lang w:eastAsia="zh-CN"/>
        </w:rPr>
        <w:t>响应文件</w:t>
      </w:r>
      <w:r>
        <w:rPr>
          <w:rFonts w:hint="eastAsia" w:ascii="宋体" w:hAnsi="宋体"/>
          <w:sz w:val="24"/>
          <w:szCs w:val="24"/>
        </w:rPr>
        <w:t>由同一单位或者个人编制；不同</w:t>
      </w:r>
      <w:r>
        <w:rPr>
          <w:rFonts w:hint="eastAsia" w:ascii="宋体" w:hAnsi="宋体"/>
          <w:sz w:val="24"/>
          <w:lang w:eastAsia="zh-CN"/>
        </w:rPr>
        <w:t>响应供应商</w:t>
      </w:r>
      <w:r>
        <w:rPr>
          <w:rFonts w:hint="eastAsia" w:ascii="宋体" w:hAnsi="宋体"/>
          <w:sz w:val="24"/>
          <w:szCs w:val="24"/>
        </w:rPr>
        <w:t>委托同一单位或者个人办理响应事宜；不同</w:t>
      </w:r>
      <w:r>
        <w:rPr>
          <w:rFonts w:hint="eastAsia" w:ascii="宋体" w:hAnsi="宋体"/>
          <w:sz w:val="24"/>
          <w:lang w:eastAsia="zh-CN"/>
        </w:rPr>
        <w:t>响应供应商</w:t>
      </w:r>
      <w:r>
        <w:rPr>
          <w:rFonts w:hint="eastAsia" w:ascii="宋体" w:hAnsi="宋体"/>
          <w:sz w:val="24"/>
          <w:szCs w:val="24"/>
        </w:rPr>
        <w:t>的</w:t>
      </w:r>
      <w:r>
        <w:rPr>
          <w:rFonts w:hint="eastAsia" w:ascii="宋体" w:hAnsi="宋体"/>
          <w:sz w:val="24"/>
          <w:szCs w:val="24"/>
          <w:lang w:eastAsia="zh-CN"/>
        </w:rPr>
        <w:t>响应文件</w:t>
      </w:r>
      <w:r>
        <w:rPr>
          <w:rFonts w:hint="eastAsia" w:ascii="宋体" w:hAnsi="宋体"/>
          <w:sz w:val="24"/>
          <w:szCs w:val="24"/>
        </w:rPr>
        <w:t>载明的项目管理成员或者联系人员为同一人；不同</w:t>
      </w:r>
      <w:r>
        <w:rPr>
          <w:rFonts w:hint="eastAsia" w:ascii="宋体" w:hAnsi="宋体"/>
          <w:sz w:val="24"/>
          <w:lang w:eastAsia="zh-CN"/>
        </w:rPr>
        <w:t>响应供应商</w:t>
      </w:r>
      <w:r>
        <w:rPr>
          <w:rFonts w:hint="eastAsia" w:ascii="宋体" w:hAnsi="宋体"/>
          <w:sz w:val="24"/>
          <w:szCs w:val="24"/>
        </w:rPr>
        <w:t>的</w:t>
      </w:r>
      <w:r>
        <w:rPr>
          <w:rFonts w:hint="eastAsia" w:ascii="宋体" w:hAnsi="宋体"/>
          <w:sz w:val="24"/>
          <w:szCs w:val="24"/>
          <w:lang w:eastAsia="zh-CN"/>
        </w:rPr>
        <w:t>响应文件</w:t>
      </w:r>
      <w:r>
        <w:rPr>
          <w:rFonts w:hint="eastAsia" w:ascii="宋体" w:hAnsi="宋体"/>
          <w:sz w:val="24"/>
          <w:szCs w:val="24"/>
        </w:rPr>
        <w:t>异常一致或者响应报价呈规律性差异；不同</w:t>
      </w:r>
      <w:r>
        <w:rPr>
          <w:rFonts w:hint="eastAsia" w:ascii="宋体" w:hAnsi="宋体"/>
          <w:sz w:val="24"/>
          <w:lang w:eastAsia="zh-CN"/>
        </w:rPr>
        <w:t>响应供应商</w:t>
      </w:r>
      <w:r>
        <w:rPr>
          <w:rFonts w:hint="eastAsia" w:ascii="宋体" w:hAnsi="宋体"/>
          <w:sz w:val="24"/>
          <w:szCs w:val="24"/>
        </w:rPr>
        <w:t>的</w:t>
      </w:r>
      <w:r>
        <w:rPr>
          <w:rFonts w:hint="eastAsia" w:ascii="宋体" w:hAnsi="宋体"/>
          <w:sz w:val="24"/>
          <w:szCs w:val="24"/>
          <w:lang w:eastAsia="zh-CN"/>
        </w:rPr>
        <w:t>响应文件</w:t>
      </w:r>
      <w:r>
        <w:rPr>
          <w:rFonts w:hint="eastAsia" w:ascii="宋体" w:hAnsi="宋体"/>
          <w:sz w:val="24"/>
          <w:szCs w:val="24"/>
        </w:rPr>
        <w:t>相互混装。</w:t>
      </w:r>
    </w:p>
    <w:p w14:paraId="78597B74">
      <w:pPr>
        <w:spacing w:line="360" w:lineRule="auto"/>
        <w:ind w:firstLine="482" w:firstLineChars="200"/>
        <w:rPr>
          <w:rFonts w:ascii="宋体" w:hAnsi="宋体"/>
          <w:sz w:val="24"/>
        </w:rPr>
      </w:pPr>
      <w:r>
        <w:rPr>
          <w:rFonts w:hint="eastAsia" w:ascii="宋体" w:hAnsi="宋体"/>
          <w:b/>
          <w:sz w:val="24"/>
        </w:rPr>
        <w:t>2.3 通过资格性、符合性审查的</w:t>
      </w:r>
      <w:r>
        <w:rPr>
          <w:rFonts w:hint="eastAsia" w:ascii="宋体" w:hAnsi="宋体"/>
          <w:b/>
          <w:sz w:val="24"/>
          <w:lang w:eastAsia="zh-CN"/>
        </w:rPr>
        <w:t>响应供应商</w:t>
      </w:r>
      <w:r>
        <w:rPr>
          <w:rFonts w:hint="eastAsia" w:ascii="宋体" w:hAnsi="宋体"/>
          <w:b/>
          <w:sz w:val="24"/>
        </w:rPr>
        <w:t>数量不足3家的，项目作废标处理。</w:t>
      </w:r>
    </w:p>
    <w:p w14:paraId="5D24D284">
      <w:pPr>
        <w:spacing w:line="360" w:lineRule="auto"/>
        <w:ind w:firstLine="482" w:firstLineChars="200"/>
        <w:rPr>
          <w:rFonts w:ascii="宋体" w:hAnsi="宋体"/>
          <w:b/>
          <w:sz w:val="24"/>
        </w:rPr>
      </w:pPr>
      <w:r>
        <w:rPr>
          <w:rFonts w:hint="eastAsia" w:ascii="宋体" w:hAnsi="宋体"/>
          <w:b/>
          <w:sz w:val="24"/>
        </w:rPr>
        <w:t>3. 综合评审</w:t>
      </w:r>
    </w:p>
    <w:p w14:paraId="1F157992">
      <w:pPr>
        <w:spacing w:line="360" w:lineRule="auto"/>
        <w:ind w:firstLine="480" w:firstLineChars="200"/>
        <w:rPr>
          <w:rFonts w:ascii="宋体" w:hAnsi="宋体"/>
          <w:sz w:val="24"/>
        </w:rPr>
      </w:pPr>
      <w:r>
        <w:rPr>
          <w:rFonts w:hint="eastAsia" w:ascii="宋体" w:hAnsi="宋体"/>
          <w:sz w:val="24"/>
        </w:rPr>
        <w:t>3.1评审小组对资格性、符合性审查合格的</w:t>
      </w:r>
      <w:r>
        <w:rPr>
          <w:rFonts w:hint="eastAsia" w:ascii="宋体" w:hAnsi="宋体"/>
          <w:sz w:val="24"/>
          <w:lang w:eastAsia="zh-CN"/>
        </w:rPr>
        <w:t>响应文件</w:t>
      </w:r>
      <w:r>
        <w:rPr>
          <w:rFonts w:hint="eastAsia" w:ascii="宋体" w:hAnsi="宋体"/>
          <w:sz w:val="24"/>
        </w:rPr>
        <w:t>进行技术、商务、价格评审。</w:t>
      </w:r>
    </w:p>
    <w:p w14:paraId="00A03EBD">
      <w:pPr>
        <w:spacing w:line="360" w:lineRule="auto"/>
        <w:ind w:firstLine="480" w:firstLineChars="200"/>
        <w:rPr>
          <w:rFonts w:ascii="宋体" w:hAnsi="宋体"/>
          <w:sz w:val="24"/>
        </w:rPr>
      </w:pPr>
      <w:r>
        <w:rPr>
          <w:rFonts w:hint="eastAsia" w:ascii="宋体" w:hAnsi="宋体"/>
          <w:sz w:val="24"/>
        </w:rPr>
        <w:t>3.2技术、商务、价格部分分值分配如下：</w:t>
      </w:r>
    </w:p>
    <w:tbl>
      <w:tblPr>
        <w:tblStyle w:val="50"/>
        <w:tblW w:w="45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267"/>
        <w:gridCol w:w="2553"/>
        <w:gridCol w:w="2269"/>
      </w:tblGrid>
      <w:tr w14:paraId="7631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79" w:type="pct"/>
            <w:vAlign w:val="center"/>
          </w:tcPr>
          <w:p w14:paraId="3472F733">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评分项目</w:t>
            </w:r>
          </w:p>
        </w:tc>
        <w:tc>
          <w:tcPr>
            <w:tcW w:w="1254" w:type="pct"/>
            <w:vAlign w:val="center"/>
          </w:tcPr>
          <w:p w14:paraId="792D343B">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技术部分</w:t>
            </w:r>
          </w:p>
        </w:tc>
        <w:tc>
          <w:tcPr>
            <w:tcW w:w="1412" w:type="pct"/>
            <w:vAlign w:val="center"/>
          </w:tcPr>
          <w:p w14:paraId="09FB3364">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商务部分</w:t>
            </w:r>
          </w:p>
        </w:tc>
        <w:tc>
          <w:tcPr>
            <w:tcW w:w="1255" w:type="pct"/>
            <w:vAlign w:val="center"/>
          </w:tcPr>
          <w:p w14:paraId="4966E191">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价格部分</w:t>
            </w:r>
          </w:p>
        </w:tc>
      </w:tr>
      <w:tr w14:paraId="095C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79" w:type="pct"/>
            <w:vAlign w:val="center"/>
          </w:tcPr>
          <w:p w14:paraId="62553E58">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权重</w:t>
            </w:r>
          </w:p>
        </w:tc>
        <w:tc>
          <w:tcPr>
            <w:tcW w:w="1254" w:type="pct"/>
            <w:vAlign w:val="center"/>
          </w:tcPr>
          <w:p w14:paraId="53DE1354">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40</w:t>
            </w:r>
            <w:r>
              <w:rPr>
                <w:rFonts w:hint="eastAsia" w:asciiTheme="minorEastAsia" w:hAnsiTheme="minorEastAsia" w:eastAsiaTheme="minorEastAsia"/>
                <w:sz w:val="24"/>
                <w:szCs w:val="24"/>
              </w:rPr>
              <w:t>%</w:t>
            </w:r>
          </w:p>
        </w:tc>
        <w:tc>
          <w:tcPr>
            <w:tcW w:w="1412" w:type="pct"/>
            <w:vAlign w:val="center"/>
          </w:tcPr>
          <w:p w14:paraId="63B71956">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30</w:t>
            </w:r>
            <w:r>
              <w:rPr>
                <w:rFonts w:hint="eastAsia" w:asciiTheme="minorEastAsia" w:hAnsiTheme="minorEastAsia" w:eastAsiaTheme="minorEastAsia"/>
                <w:sz w:val="24"/>
                <w:szCs w:val="24"/>
              </w:rPr>
              <w:t>%</w:t>
            </w:r>
          </w:p>
        </w:tc>
        <w:tc>
          <w:tcPr>
            <w:tcW w:w="1255" w:type="pct"/>
            <w:vAlign w:val="center"/>
          </w:tcPr>
          <w:p w14:paraId="70960371">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30</w:t>
            </w:r>
            <w:r>
              <w:rPr>
                <w:rFonts w:hint="eastAsia" w:asciiTheme="minorEastAsia" w:hAnsiTheme="minorEastAsia" w:eastAsiaTheme="minorEastAsia"/>
                <w:sz w:val="24"/>
                <w:szCs w:val="24"/>
              </w:rPr>
              <w:t>%</w:t>
            </w:r>
          </w:p>
        </w:tc>
      </w:tr>
      <w:tr w14:paraId="6F3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79" w:type="pct"/>
            <w:vAlign w:val="center"/>
          </w:tcPr>
          <w:p w14:paraId="4619F4E3">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满分</w:t>
            </w:r>
          </w:p>
        </w:tc>
        <w:tc>
          <w:tcPr>
            <w:tcW w:w="1254" w:type="pct"/>
            <w:vAlign w:val="center"/>
          </w:tcPr>
          <w:p w14:paraId="0301266B">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40</w:t>
            </w:r>
            <w:r>
              <w:rPr>
                <w:rFonts w:hint="eastAsia" w:asciiTheme="minorEastAsia" w:hAnsiTheme="minorEastAsia" w:eastAsiaTheme="minorEastAsia"/>
                <w:sz w:val="24"/>
                <w:szCs w:val="24"/>
              </w:rPr>
              <w:t>分</w:t>
            </w:r>
          </w:p>
        </w:tc>
        <w:tc>
          <w:tcPr>
            <w:tcW w:w="1412" w:type="pct"/>
            <w:vAlign w:val="center"/>
          </w:tcPr>
          <w:p w14:paraId="7AEC538C">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30</w:t>
            </w:r>
            <w:r>
              <w:rPr>
                <w:rFonts w:hint="eastAsia" w:asciiTheme="minorEastAsia" w:hAnsiTheme="minorEastAsia" w:eastAsiaTheme="minorEastAsia"/>
                <w:sz w:val="24"/>
                <w:szCs w:val="24"/>
              </w:rPr>
              <w:t>分</w:t>
            </w:r>
          </w:p>
        </w:tc>
        <w:tc>
          <w:tcPr>
            <w:tcW w:w="1255" w:type="pct"/>
            <w:vAlign w:val="center"/>
          </w:tcPr>
          <w:p w14:paraId="22AF3C7B">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30</w:t>
            </w:r>
            <w:r>
              <w:rPr>
                <w:rFonts w:hint="eastAsia" w:asciiTheme="minorEastAsia" w:hAnsiTheme="minorEastAsia" w:eastAsiaTheme="minorEastAsia"/>
                <w:sz w:val="24"/>
                <w:szCs w:val="24"/>
              </w:rPr>
              <w:t>分</w:t>
            </w:r>
          </w:p>
        </w:tc>
      </w:tr>
    </w:tbl>
    <w:p w14:paraId="13DEA772">
      <w:pPr>
        <w:snapToGrid w:val="0"/>
        <w:spacing w:line="360" w:lineRule="auto"/>
        <w:ind w:firstLine="424" w:firstLineChars="176"/>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（1）技术商务得分。</w:t>
      </w:r>
      <w:r>
        <w:rPr>
          <w:rFonts w:hint="eastAsia" w:cs="宋体" w:asciiTheme="minorEastAsia" w:hAnsiTheme="minorEastAsia" w:eastAsiaTheme="minorEastAsia"/>
          <w:sz w:val="24"/>
          <w:szCs w:val="24"/>
        </w:rPr>
        <w:t>将评审委员会成员各项的技术、商务评分的平均值求和，分别得出每个有效</w:t>
      </w:r>
      <w:r>
        <w:rPr>
          <w:rFonts w:hint="eastAsia" w:cs="宋体" w:asciiTheme="minorEastAsia" w:hAnsiTheme="minorEastAsia" w:eastAsiaTheme="minorEastAsia"/>
          <w:sz w:val="24"/>
          <w:szCs w:val="24"/>
          <w:lang w:eastAsia="zh-CN"/>
        </w:rPr>
        <w:t>响应供应商</w:t>
      </w:r>
      <w:r>
        <w:rPr>
          <w:rFonts w:hint="eastAsia" w:cs="宋体" w:asciiTheme="minorEastAsia" w:hAnsiTheme="minorEastAsia" w:eastAsiaTheme="minorEastAsia"/>
          <w:sz w:val="24"/>
          <w:szCs w:val="24"/>
        </w:rPr>
        <w:t>的技术、商务得分（四舍五入后，精确到0.01）。将技术得分、商务得分相加乘于对应权重得出技术、商务得分。</w:t>
      </w:r>
    </w:p>
    <w:p w14:paraId="53D74322">
      <w:pPr>
        <w:snapToGrid w:val="0"/>
        <w:spacing w:line="360" w:lineRule="auto"/>
        <w:ind w:firstLine="424" w:firstLineChars="176"/>
        <w:rPr>
          <w:rFonts w:cs="宋体" w:asciiTheme="minorEastAsia" w:hAnsiTheme="minorEastAsia" w:eastAsiaTheme="minorEastAsia"/>
          <w:bCs/>
          <w:sz w:val="24"/>
        </w:rPr>
      </w:pPr>
      <w:r>
        <w:rPr>
          <w:rFonts w:hint="eastAsia" w:cs="宋体" w:asciiTheme="minorEastAsia" w:hAnsiTheme="minorEastAsia" w:eastAsiaTheme="minorEastAsia"/>
          <w:b/>
          <w:bCs/>
          <w:sz w:val="24"/>
          <w:szCs w:val="24"/>
        </w:rPr>
        <w:t>（2）价格得分。</w:t>
      </w:r>
      <w:r>
        <w:rPr>
          <w:rFonts w:hint="eastAsia" w:cs="宋体" w:asciiTheme="minorEastAsia" w:hAnsiTheme="minorEastAsia" w:eastAsiaTheme="minorEastAsia"/>
          <w:bCs/>
          <w:sz w:val="24"/>
          <w:lang w:eastAsia="zh-TW"/>
        </w:rPr>
        <w:t>价格分采用低价优先法计算，即满足</w:t>
      </w:r>
      <w:r>
        <w:rPr>
          <w:rFonts w:hint="eastAsia" w:cs="宋体" w:asciiTheme="minorEastAsia" w:hAnsiTheme="minorEastAsia" w:eastAsiaTheme="minorEastAsia"/>
          <w:bCs/>
          <w:sz w:val="24"/>
          <w:lang w:eastAsia="zh-CN"/>
        </w:rPr>
        <w:t>遴选文件</w:t>
      </w:r>
      <w:r>
        <w:rPr>
          <w:rFonts w:hint="eastAsia" w:cs="宋体" w:asciiTheme="minorEastAsia" w:hAnsiTheme="minorEastAsia" w:eastAsiaTheme="minorEastAsia"/>
          <w:bCs/>
          <w:sz w:val="24"/>
          <w:lang w:eastAsia="zh-TW"/>
        </w:rPr>
        <w:t>要求（通过资格性审查及符合性审查）且</w:t>
      </w:r>
      <w:r>
        <w:rPr>
          <w:rFonts w:hint="eastAsia" w:cs="宋体" w:asciiTheme="minorEastAsia" w:hAnsiTheme="minorEastAsia" w:eastAsiaTheme="minorEastAsia"/>
          <w:bCs/>
          <w:sz w:val="24"/>
          <w:lang w:eastAsia="zh-CN"/>
        </w:rPr>
        <w:t>响应</w:t>
      </w:r>
      <w:r>
        <w:rPr>
          <w:rFonts w:hint="eastAsia" w:cs="宋体" w:asciiTheme="minorEastAsia" w:hAnsiTheme="minorEastAsia" w:eastAsiaTheme="minorEastAsia"/>
          <w:bCs/>
          <w:sz w:val="24"/>
          <w:lang w:eastAsia="zh-TW"/>
        </w:rPr>
        <w:t>价格最低的</w:t>
      </w:r>
      <w:r>
        <w:rPr>
          <w:rFonts w:hint="eastAsia" w:cs="宋体" w:asciiTheme="minorEastAsia" w:hAnsiTheme="minorEastAsia" w:eastAsiaTheme="minorEastAsia"/>
          <w:bCs/>
          <w:sz w:val="24"/>
          <w:lang w:eastAsia="zh-CN"/>
        </w:rPr>
        <w:t>响应报价</w:t>
      </w:r>
      <w:r>
        <w:rPr>
          <w:rFonts w:hint="eastAsia" w:cs="宋体" w:asciiTheme="minorEastAsia" w:hAnsiTheme="minorEastAsia" w:eastAsiaTheme="minorEastAsia"/>
          <w:bCs/>
          <w:sz w:val="24"/>
          <w:lang w:eastAsia="zh-TW"/>
        </w:rPr>
        <w:t>（指修正后报价，下同）为</w:t>
      </w:r>
      <w:r>
        <w:rPr>
          <w:rFonts w:hint="eastAsia" w:cs="宋体" w:asciiTheme="minorEastAsia" w:hAnsiTheme="minorEastAsia" w:eastAsiaTheme="minorEastAsia"/>
          <w:bCs/>
          <w:sz w:val="24"/>
          <w:lang w:eastAsia="zh-CN"/>
        </w:rPr>
        <w:t>评审</w:t>
      </w:r>
      <w:r>
        <w:rPr>
          <w:rFonts w:hint="eastAsia" w:cs="宋体" w:asciiTheme="minorEastAsia" w:hAnsiTheme="minorEastAsia" w:eastAsiaTheme="minorEastAsia"/>
          <w:bCs/>
          <w:sz w:val="24"/>
          <w:lang w:eastAsia="zh-TW"/>
        </w:rPr>
        <w:t>基准价，其价格分为满分。其他</w:t>
      </w:r>
      <w:r>
        <w:rPr>
          <w:rFonts w:hint="eastAsia" w:cs="宋体" w:asciiTheme="minorEastAsia" w:hAnsiTheme="minorEastAsia" w:eastAsiaTheme="minorEastAsia"/>
          <w:bCs/>
          <w:sz w:val="24"/>
          <w:lang w:eastAsia="zh-CN"/>
        </w:rPr>
        <w:t>响应供应商</w:t>
      </w:r>
      <w:r>
        <w:rPr>
          <w:rFonts w:hint="eastAsia" w:cs="宋体" w:asciiTheme="minorEastAsia" w:hAnsiTheme="minorEastAsia" w:eastAsiaTheme="minorEastAsia"/>
          <w:bCs/>
          <w:sz w:val="24"/>
          <w:lang w:eastAsia="zh-TW"/>
        </w:rPr>
        <w:t>的价格分统一按照下列公式计算</w:t>
      </w:r>
      <w:r>
        <w:rPr>
          <w:rFonts w:hint="eastAsia" w:cs="宋体" w:asciiTheme="minorEastAsia" w:hAnsiTheme="minorEastAsia" w:eastAsiaTheme="minorEastAsia"/>
          <w:bCs/>
          <w:sz w:val="24"/>
        </w:rPr>
        <w:t>（价格得分分值按四舍五入原则精确到小数点后两位数）。价格</w:t>
      </w:r>
      <w:r>
        <w:rPr>
          <w:rFonts w:hint="eastAsia" w:cs="宋体" w:asciiTheme="minorEastAsia" w:hAnsiTheme="minorEastAsia" w:eastAsiaTheme="minorEastAsia"/>
          <w:bCs/>
          <w:sz w:val="24"/>
          <w:lang w:eastAsia="zh-TW"/>
        </w:rPr>
        <w:t>得分=</w:t>
      </w:r>
      <w:r>
        <w:rPr>
          <w:rFonts w:hint="eastAsia" w:asciiTheme="minorEastAsia" w:hAnsiTheme="minorEastAsia" w:eastAsiaTheme="minorEastAsia"/>
        </w:rPr>
        <w:t xml:space="preserve"> </w:t>
      </w:r>
      <w:r>
        <w:rPr>
          <w:rFonts w:hint="eastAsia" w:cs="宋体" w:asciiTheme="minorEastAsia" w:hAnsiTheme="minorEastAsia" w:eastAsiaTheme="minorEastAsia"/>
          <w:bCs/>
          <w:sz w:val="24"/>
          <w:lang w:eastAsia="zh-TW"/>
        </w:rPr>
        <w:t>(</w:t>
      </w:r>
      <w:r>
        <w:rPr>
          <w:rFonts w:hint="eastAsia" w:cs="宋体" w:asciiTheme="minorEastAsia" w:hAnsiTheme="minorEastAsia" w:eastAsiaTheme="minorEastAsia"/>
          <w:bCs/>
          <w:sz w:val="24"/>
          <w:lang w:eastAsia="zh-CN"/>
        </w:rPr>
        <w:t>评审</w:t>
      </w:r>
      <w:r>
        <w:rPr>
          <w:rFonts w:hint="eastAsia" w:cs="宋体" w:asciiTheme="minorEastAsia" w:hAnsiTheme="minorEastAsia" w:eastAsiaTheme="minorEastAsia"/>
          <w:bCs/>
          <w:sz w:val="24"/>
          <w:lang w:eastAsia="zh-TW"/>
        </w:rPr>
        <w:t>基准价/</w:t>
      </w:r>
      <w:r>
        <w:rPr>
          <w:rFonts w:hint="eastAsia" w:cs="宋体" w:asciiTheme="minorEastAsia" w:hAnsiTheme="minorEastAsia" w:eastAsiaTheme="minorEastAsia"/>
          <w:bCs/>
          <w:sz w:val="24"/>
          <w:lang w:eastAsia="zh-CN"/>
        </w:rPr>
        <w:t>评审</w:t>
      </w:r>
      <w:r>
        <w:rPr>
          <w:rFonts w:hint="eastAsia" w:cs="宋体" w:asciiTheme="minorEastAsia" w:hAnsiTheme="minorEastAsia" w:eastAsiaTheme="minorEastAsia"/>
          <w:bCs/>
          <w:sz w:val="24"/>
          <w:lang w:eastAsia="zh-TW"/>
        </w:rPr>
        <w:t>总价)×100×价格权重。</w:t>
      </w:r>
    </w:p>
    <w:p w14:paraId="3167AA48">
      <w:pPr>
        <w:pStyle w:val="60"/>
        <w:widowControl/>
        <w:spacing w:line="360" w:lineRule="auto"/>
        <w:ind w:firstLine="352" w:firstLineChars="146"/>
        <w:jc w:val="left"/>
        <w:rPr>
          <w:rFonts w:cs="宋体" w:asciiTheme="minorEastAsia" w:hAnsiTheme="minorEastAsia" w:eastAsiaTheme="minorEastAsia"/>
          <w:bCs/>
          <w:sz w:val="24"/>
        </w:rPr>
      </w:pPr>
      <w:r>
        <w:rPr>
          <w:rFonts w:hint="eastAsia" w:ascii="宋体" w:hAnsi="宋体" w:cs="宋体"/>
          <w:b/>
          <w:bCs/>
          <w:sz w:val="24"/>
        </w:rPr>
        <w:t>（注：如项目为下浮率报价，则“下浮率最高即为</w:t>
      </w:r>
      <w:r>
        <w:rPr>
          <w:rFonts w:hint="eastAsia" w:ascii="宋体" w:hAnsi="宋体" w:cs="宋体"/>
          <w:b/>
          <w:bCs/>
          <w:sz w:val="24"/>
          <w:lang w:eastAsia="zh-CN"/>
        </w:rPr>
        <w:t>响应</w:t>
      </w:r>
      <w:r>
        <w:rPr>
          <w:rFonts w:hint="eastAsia" w:ascii="宋体" w:hAnsi="宋体" w:cs="宋体"/>
          <w:b/>
          <w:bCs/>
          <w:sz w:val="24"/>
          <w:lang w:eastAsia="zh-TW"/>
        </w:rPr>
        <w:t>价格最低</w:t>
      </w:r>
      <w:r>
        <w:rPr>
          <w:rFonts w:hint="eastAsia" w:ascii="宋体" w:hAnsi="宋体" w:cs="宋体"/>
          <w:b/>
          <w:bCs/>
          <w:sz w:val="24"/>
        </w:rPr>
        <w:t>”）</w:t>
      </w:r>
    </w:p>
    <w:p w14:paraId="5B2DA327">
      <w:pPr>
        <w:spacing w:line="360" w:lineRule="auto"/>
        <w:ind w:firstLine="482" w:firstLineChars="200"/>
        <w:rPr>
          <w:rFonts w:cs="宋体" w:asciiTheme="minorEastAsia" w:hAnsiTheme="minorEastAsia" w:eastAsiaTheme="minorEastAsia"/>
          <w:sz w:val="24"/>
        </w:rPr>
      </w:pPr>
      <w:r>
        <w:rPr>
          <w:rFonts w:hint="eastAsia" w:ascii="宋体" w:hAnsi="宋体"/>
          <w:b/>
          <w:sz w:val="24"/>
        </w:rPr>
        <w:t>4.评审原则</w:t>
      </w:r>
      <w:r>
        <w:rPr>
          <w:rFonts w:hint="eastAsia" w:ascii="宋体" w:hAnsi="宋体"/>
        </w:rPr>
        <w:t>。</w:t>
      </w:r>
      <w:r>
        <w:rPr>
          <w:rFonts w:hint="eastAsia" w:cs="宋体" w:asciiTheme="minorEastAsia" w:hAnsiTheme="minorEastAsia" w:eastAsiaTheme="minorEastAsia"/>
          <w:sz w:val="24"/>
        </w:rPr>
        <w:t>评审过程中，不得去掉报价中的最高报价和最低报价。评审时，评审小组各成员应当独立对每个</w:t>
      </w:r>
      <w:r>
        <w:rPr>
          <w:rFonts w:hint="eastAsia" w:cs="宋体" w:asciiTheme="minorEastAsia" w:hAnsiTheme="minorEastAsia" w:eastAsiaTheme="minorEastAsia"/>
          <w:sz w:val="24"/>
          <w:lang w:eastAsia="zh-CN"/>
        </w:rPr>
        <w:t>响应供应商</w:t>
      </w:r>
      <w:r>
        <w:rPr>
          <w:rFonts w:hint="eastAsia" w:cs="宋体" w:asciiTheme="minorEastAsia" w:hAnsiTheme="minorEastAsia" w:eastAsiaTheme="minorEastAsia"/>
          <w:sz w:val="24"/>
        </w:rPr>
        <w:t>的</w:t>
      </w:r>
      <w:r>
        <w:rPr>
          <w:rFonts w:hint="eastAsia" w:cs="宋体" w:asciiTheme="minorEastAsia" w:hAnsiTheme="minorEastAsia" w:eastAsiaTheme="minorEastAsia"/>
          <w:sz w:val="24"/>
          <w:lang w:eastAsia="zh-CN"/>
        </w:rPr>
        <w:t>响应文件</w:t>
      </w:r>
      <w:r>
        <w:rPr>
          <w:rFonts w:hint="eastAsia" w:cs="宋体" w:asciiTheme="minorEastAsia" w:hAnsiTheme="minorEastAsia" w:eastAsiaTheme="minorEastAsia"/>
          <w:sz w:val="24"/>
        </w:rPr>
        <w:t>进行评审，并汇总每个</w:t>
      </w:r>
      <w:r>
        <w:rPr>
          <w:rFonts w:hint="eastAsia" w:cs="宋体" w:asciiTheme="minorEastAsia" w:hAnsiTheme="minorEastAsia" w:eastAsiaTheme="minorEastAsia"/>
          <w:sz w:val="24"/>
          <w:lang w:eastAsia="zh-CN"/>
        </w:rPr>
        <w:t>响应供应商</w:t>
      </w:r>
      <w:r>
        <w:rPr>
          <w:rFonts w:hint="eastAsia" w:cs="宋体" w:asciiTheme="minorEastAsia" w:hAnsiTheme="minorEastAsia" w:eastAsiaTheme="minorEastAsia"/>
          <w:sz w:val="24"/>
        </w:rPr>
        <w:t>的得分。评审小组对有效</w:t>
      </w:r>
      <w:r>
        <w:rPr>
          <w:rFonts w:hint="eastAsia" w:cs="宋体" w:asciiTheme="minorEastAsia" w:hAnsiTheme="minorEastAsia" w:eastAsiaTheme="minorEastAsia"/>
          <w:sz w:val="24"/>
          <w:lang w:eastAsia="zh-CN"/>
        </w:rPr>
        <w:t>响应供应商</w:t>
      </w:r>
      <w:r>
        <w:rPr>
          <w:rFonts w:hint="eastAsia" w:cs="宋体" w:asciiTheme="minorEastAsia" w:hAnsiTheme="minorEastAsia" w:eastAsiaTheme="minorEastAsia"/>
          <w:sz w:val="24"/>
        </w:rPr>
        <w:t>的</w:t>
      </w:r>
      <w:r>
        <w:rPr>
          <w:rFonts w:hint="eastAsia" w:cs="宋体" w:asciiTheme="minorEastAsia" w:hAnsiTheme="minorEastAsia" w:eastAsiaTheme="minorEastAsia"/>
          <w:sz w:val="24"/>
          <w:lang w:eastAsia="zh-CN"/>
        </w:rPr>
        <w:t>响应报价</w:t>
      </w:r>
      <w:r>
        <w:rPr>
          <w:rFonts w:hint="eastAsia" w:cs="宋体" w:asciiTheme="minorEastAsia" w:hAnsiTheme="minorEastAsia" w:eastAsiaTheme="minorEastAsia"/>
          <w:sz w:val="24"/>
        </w:rPr>
        <w:t>进行校核、评审或作出必要的修正，并按价格评分办法计算其价格评分。（所有政策条件下，若同时符合两种或以上的情形，只选择最高价格扣除比例进行价格扣除）</w:t>
      </w:r>
    </w:p>
    <w:p w14:paraId="5950160E">
      <w:pPr>
        <w:snapToGrid w:val="0"/>
        <w:spacing w:line="360" w:lineRule="auto"/>
        <w:ind w:firstLine="424" w:firstLineChars="176"/>
        <w:rPr>
          <w:rFonts w:ascii="宋体" w:hAnsi="宋体" w:cs="宋体"/>
          <w:bCs/>
          <w:sz w:val="24"/>
        </w:rPr>
      </w:pPr>
      <w:r>
        <w:rPr>
          <w:rFonts w:hint="eastAsia" w:cs="宋体" w:asciiTheme="minorEastAsia" w:hAnsiTheme="minorEastAsia" w:eastAsiaTheme="minorEastAsia"/>
          <w:b/>
          <w:bCs/>
          <w:sz w:val="24"/>
          <w:szCs w:val="24"/>
        </w:rPr>
        <w:t>（1）小型、微型企业、监狱企业和残疾人福利性单位产品价格扣除。</w:t>
      </w:r>
      <w:r>
        <w:rPr>
          <w:rFonts w:hint="eastAsia" w:ascii="宋体" w:hAnsi="宋体" w:cs="宋体"/>
          <w:bCs/>
          <w:sz w:val="24"/>
        </w:rPr>
        <w:t>1）</w:t>
      </w:r>
      <w:r>
        <w:rPr>
          <w:rFonts w:hint="eastAsia" w:ascii="宋体" w:hAnsi="宋体" w:cs="宋体"/>
          <w:bCs/>
          <w:sz w:val="24"/>
          <w:lang w:eastAsia="zh-CN"/>
        </w:rPr>
        <w:t>响应供应商</w:t>
      </w:r>
      <w:r>
        <w:rPr>
          <w:rFonts w:hint="eastAsia" w:ascii="宋体" w:hAnsi="宋体" w:cs="宋体"/>
          <w:bCs/>
          <w:sz w:val="24"/>
        </w:rPr>
        <w:t>为小型或微型企业且报价产品/服务含小型或微型企业产品/服务时，</w:t>
      </w:r>
      <w:r>
        <w:rPr>
          <w:rFonts w:hint="eastAsia" w:ascii="宋体" w:hAnsi="宋体" w:cs="宋体"/>
          <w:bCs/>
          <w:sz w:val="24"/>
          <w:lang w:eastAsia="zh-TW"/>
        </w:rPr>
        <w:t>其</w:t>
      </w:r>
      <w:r>
        <w:rPr>
          <w:rFonts w:hint="eastAsia" w:ascii="宋体" w:hAnsi="宋体" w:cs="宋体"/>
          <w:bCs/>
          <w:sz w:val="24"/>
          <w:lang w:eastAsia="zh-CN"/>
        </w:rPr>
        <w:t>响应报价</w:t>
      </w:r>
      <w:r>
        <w:rPr>
          <w:rFonts w:hint="eastAsia" w:ascii="宋体" w:hAnsi="宋体" w:cs="宋体"/>
          <w:bCs/>
          <w:sz w:val="24"/>
          <w:lang w:eastAsia="zh-TW"/>
        </w:rPr>
        <w:t>将给予10%的价格扣除，即：</w:t>
      </w:r>
      <w:r>
        <w:rPr>
          <w:rFonts w:hint="eastAsia" w:ascii="宋体" w:hAnsi="宋体" w:cs="宋体"/>
          <w:bCs/>
          <w:sz w:val="24"/>
          <w:lang w:eastAsia="zh-CN"/>
        </w:rPr>
        <w:t>评审</w:t>
      </w:r>
      <w:r>
        <w:rPr>
          <w:rFonts w:hint="eastAsia" w:ascii="宋体" w:hAnsi="宋体" w:cs="宋体"/>
          <w:bCs/>
          <w:sz w:val="24"/>
          <w:lang w:eastAsia="zh-TW"/>
        </w:rPr>
        <w:t>价＝</w:t>
      </w:r>
      <w:r>
        <w:rPr>
          <w:rFonts w:hint="eastAsia" w:ascii="宋体" w:hAnsi="宋体" w:cs="宋体"/>
          <w:bCs/>
          <w:sz w:val="24"/>
          <w:lang w:eastAsia="zh-CN"/>
        </w:rPr>
        <w:t>响应报价</w:t>
      </w:r>
      <w:r>
        <w:rPr>
          <w:rFonts w:hint="eastAsia" w:ascii="宋体" w:hAnsi="宋体" w:cs="宋体"/>
          <w:bCs/>
          <w:sz w:val="24"/>
          <w:lang w:eastAsia="zh-TW"/>
        </w:rPr>
        <w:t>×(1－10%）。</w:t>
      </w:r>
      <w:r>
        <w:rPr>
          <w:rFonts w:hint="eastAsia" w:ascii="宋体" w:hAnsi="宋体" w:cs="宋体"/>
          <w:bCs/>
          <w:sz w:val="24"/>
        </w:rPr>
        <w:t>评审小组</w:t>
      </w:r>
      <w:r>
        <w:rPr>
          <w:rFonts w:hint="eastAsia" w:ascii="宋体" w:hAnsi="宋体" w:cs="宋体"/>
          <w:bCs/>
          <w:sz w:val="24"/>
          <w:lang w:eastAsia="zh-TW"/>
        </w:rPr>
        <w:t>根据</w:t>
      </w:r>
      <w:r>
        <w:rPr>
          <w:rFonts w:hint="eastAsia" w:ascii="宋体" w:hAnsi="宋体" w:cs="宋体"/>
          <w:bCs/>
          <w:sz w:val="24"/>
          <w:lang w:eastAsia="zh-CN"/>
        </w:rPr>
        <w:t>响应供应商</w:t>
      </w:r>
      <w:r>
        <w:rPr>
          <w:rFonts w:hint="eastAsia" w:ascii="宋体" w:hAnsi="宋体" w:cs="宋体"/>
          <w:bCs/>
          <w:sz w:val="24"/>
          <w:lang w:eastAsia="zh-TW"/>
        </w:rPr>
        <w:t>提供的《中小企业声明函》，认定其是否属于小型、微型企业并享受价格扣除的优惠政策。</w:t>
      </w:r>
      <w:r>
        <w:rPr>
          <w:rFonts w:hint="eastAsia" w:ascii="宋体" w:hAnsi="宋体" w:cs="宋体"/>
          <w:bCs/>
          <w:sz w:val="24"/>
        </w:rPr>
        <w:t>2）</w:t>
      </w:r>
      <w:r>
        <w:rPr>
          <w:rFonts w:hint="eastAsia" w:ascii="宋体" w:hAnsi="宋体" w:cs="宋体"/>
          <w:bCs/>
          <w:sz w:val="24"/>
          <w:lang w:eastAsia="zh-TW"/>
        </w:rPr>
        <w:t>根据财库〔2014〕68 号《财政部 司法部关于政府采购支持监狱企业发展有关问题的通知》，监狱企业视同小微企业</w:t>
      </w:r>
      <w:r>
        <w:rPr>
          <w:rFonts w:hint="eastAsia" w:ascii="宋体" w:hAnsi="宋体" w:cs="宋体"/>
          <w:bCs/>
          <w:sz w:val="24"/>
        </w:rPr>
        <w:t>（具体以提供的证明文件为准）</w:t>
      </w:r>
      <w:r>
        <w:rPr>
          <w:rFonts w:hint="eastAsia" w:ascii="宋体" w:hAnsi="宋体" w:cs="宋体"/>
          <w:bCs/>
          <w:sz w:val="24"/>
          <w:lang w:eastAsia="zh-TW"/>
        </w:rPr>
        <w:t>。</w:t>
      </w:r>
      <w:r>
        <w:rPr>
          <w:rFonts w:hint="eastAsia" w:ascii="宋体" w:hAnsi="宋体" w:cs="宋体"/>
          <w:bCs/>
          <w:sz w:val="24"/>
        </w:rPr>
        <w:t>3）</w:t>
      </w:r>
      <w:r>
        <w:rPr>
          <w:rFonts w:hint="eastAsia" w:ascii="宋体" w:hAnsi="宋体" w:cs="宋体"/>
          <w:bCs/>
          <w:sz w:val="24"/>
          <w:lang w:eastAsia="zh-TW"/>
        </w:rPr>
        <w:t>根据财库〔2017〕141 号《财政部 民政部 中国残疾人联合会关于促进残疾人就业政府采购政策的通知》，残疾人福利性单位视同小微企业</w:t>
      </w:r>
      <w:r>
        <w:rPr>
          <w:rFonts w:hint="eastAsia" w:ascii="宋体" w:hAnsi="宋体" w:cs="宋体"/>
          <w:bCs/>
          <w:sz w:val="24"/>
        </w:rPr>
        <w:t>（具体以</w:t>
      </w:r>
      <w:r>
        <w:rPr>
          <w:rFonts w:hint="eastAsia" w:ascii="宋体" w:hAnsi="宋体" w:cs="宋体"/>
          <w:bCs/>
          <w:sz w:val="24"/>
          <w:lang w:eastAsia="zh-CN"/>
        </w:rPr>
        <w:t>响应供应商</w:t>
      </w:r>
      <w:r>
        <w:rPr>
          <w:rFonts w:hint="eastAsia" w:ascii="宋体" w:hAnsi="宋体" w:cs="宋体"/>
          <w:bCs/>
          <w:sz w:val="24"/>
        </w:rPr>
        <w:t>提供的《残疾人福利性单位声明函》为准）。4）</w:t>
      </w:r>
      <w:r>
        <w:rPr>
          <w:rFonts w:hint="eastAsia" w:ascii="宋体" w:hAnsi="宋体" w:cs="宋体"/>
          <w:bCs/>
          <w:sz w:val="24"/>
          <w:lang w:eastAsia="zh-CN"/>
        </w:rPr>
        <w:t>遴选文件</w:t>
      </w:r>
      <w:r>
        <w:rPr>
          <w:rFonts w:hint="eastAsia" w:ascii="宋体" w:hAnsi="宋体" w:cs="宋体"/>
          <w:bCs/>
          <w:sz w:val="24"/>
          <w:lang w:eastAsia="zh-TW"/>
        </w:rPr>
        <w:t>要求联合体</w:t>
      </w:r>
      <w:r>
        <w:rPr>
          <w:rFonts w:hint="eastAsia" w:ascii="宋体" w:hAnsi="宋体" w:cs="宋体"/>
          <w:bCs/>
          <w:sz w:val="24"/>
          <w:lang w:eastAsia="zh-CN"/>
        </w:rPr>
        <w:t>响应</w:t>
      </w:r>
      <w:r>
        <w:rPr>
          <w:rFonts w:hint="eastAsia" w:ascii="宋体" w:hAnsi="宋体" w:cs="宋体"/>
          <w:bCs/>
          <w:sz w:val="24"/>
          <w:lang w:eastAsia="zh-TW"/>
        </w:rPr>
        <w:t>的，联合体一方为小型、微型企业的，根据联合体协议中约定，小型、微型企业的协议合同金额占到联合体协议合同总金额30%以上的，可给予联合体</w:t>
      </w:r>
      <w:r>
        <w:rPr>
          <w:rFonts w:hint="eastAsia" w:ascii="宋体" w:hAnsi="宋体" w:cs="宋体"/>
          <w:bCs/>
          <w:sz w:val="24"/>
        </w:rPr>
        <w:t>4</w:t>
      </w:r>
      <w:r>
        <w:rPr>
          <w:rFonts w:hint="eastAsia" w:ascii="宋体" w:hAnsi="宋体" w:cs="宋体"/>
          <w:bCs/>
          <w:sz w:val="24"/>
          <w:lang w:eastAsia="zh-TW"/>
        </w:rPr>
        <w:t>%的价格扣除；联合体各方均为小型、微型企业的，联合体视同为小型、微型企业，可给予联合体10%的价格扣除，用扣除后的价格参与评审。</w:t>
      </w:r>
      <w:r>
        <w:rPr>
          <w:rFonts w:hint="eastAsia" w:ascii="宋体" w:hAnsi="宋体" w:cs="宋体"/>
          <w:bCs/>
          <w:sz w:val="24"/>
        </w:rPr>
        <w:t>5）</w:t>
      </w:r>
      <w:r>
        <w:rPr>
          <w:rFonts w:hint="eastAsia" w:ascii="宋体" w:hAnsi="宋体" w:cs="宋体"/>
          <w:bCs/>
          <w:sz w:val="24"/>
          <w:lang w:eastAsia="zh-CN"/>
        </w:rPr>
        <w:t>响应供应商</w:t>
      </w:r>
      <w:r>
        <w:rPr>
          <w:rFonts w:hint="eastAsia" w:ascii="宋体" w:hAnsi="宋体" w:cs="宋体"/>
          <w:bCs/>
          <w:sz w:val="24"/>
        </w:rPr>
        <w:t>同时为小型、微型企业、监狱企业、残疾人福利性单位任两种或以上情况的，评审中只享受一次价格扣除，不重复进行价格扣除。</w:t>
      </w:r>
    </w:p>
    <w:p w14:paraId="21662289">
      <w:pPr>
        <w:pStyle w:val="60"/>
        <w:widowControl/>
        <w:snapToGrid w:val="0"/>
        <w:spacing w:line="360" w:lineRule="auto"/>
        <w:ind w:left="105" w:leftChars="50" w:firstLine="422" w:firstLineChars="0"/>
        <w:jc w:val="left"/>
        <w:rPr>
          <w:rFonts w:ascii="宋体" w:hAnsi="宋体" w:cs="宋体"/>
          <w:bCs/>
          <w:sz w:val="24"/>
        </w:rPr>
      </w:pPr>
      <w:r>
        <w:rPr>
          <w:b/>
          <w:color w:val="000000"/>
        </w:rPr>
        <w:t>注：专门面向中小企业采购的项目，不再执行价格评审优惠的扶持政策。</w:t>
      </w:r>
    </w:p>
    <w:p w14:paraId="1E9349F5">
      <w:pPr>
        <w:snapToGrid w:val="0"/>
        <w:spacing w:line="360" w:lineRule="auto"/>
        <w:ind w:firstLine="424" w:firstLineChars="176"/>
        <w:rPr>
          <w:rFonts w:ascii="宋体" w:hAnsi="宋体" w:cs="宋体"/>
          <w:bCs/>
          <w:sz w:val="24"/>
        </w:rPr>
      </w:pPr>
      <w:r>
        <w:rPr>
          <w:rFonts w:hint="eastAsia" w:cs="宋体" w:asciiTheme="minorEastAsia" w:hAnsiTheme="minorEastAsia" w:eastAsiaTheme="minorEastAsia"/>
          <w:b/>
          <w:bCs/>
          <w:sz w:val="24"/>
          <w:szCs w:val="24"/>
        </w:rPr>
        <w:t>（2）节能产品、环境标志产品价格扣除。</w:t>
      </w:r>
      <w:r>
        <w:rPr>
          <w:rFonts w:hint="eastAsia" w:ascii="宋体" w:hAnsi="宋体" w:cs="宋体"/>
          <w:bCs/>
          <w:sz w:val="24"/>
        </w:rPr>
        <w:t>1）拟采购产品属于节能产品政府采购品目清单规定必须强制采购的，实行强制采购。2）本次采购产品在财政部、发展改革委、生态环境部等部门最新发布的《节能产品政府采购品目清单》或《</w:t>
      </w:r>
      <w:r>
        <w:rPr>
          <w:rFonts w:ascii="宋体" w:hAnsi="宋体" w:cs="宋体"/>
          <w:bCs/>
          <w:sz w:val="24"/>
        </w:rPr>
        <w:t>环境标志产品</w:t>
      </w:r>
      <w:r>
        <w:rPr>
          <w:rFonts w:hint="eastAsia" w:ascii="宋体" w:hAnsi="宋体" w:cs="宋体"/>
          <w:bCs/>
          <w:sz w:val="24"/>
        </w:rPr>
        <w:t>政府采购</w:t>
      </w:r>
      <w:r>
        <w:rPr>
          <w:rFonts w:ascii="宋体" w:hAnsi="宋体" w:cs="宋体"/>
          <w:bCs/>
          <w:sz w:val="24"/>
        </w:rPr>
        <w:t>品目清单</w:t>
      </w:r>
      <w:r>
        <w:rPr>
          <w:rFonts w:hint="eastAsia" w:ascii="宋体" w:hAnsi="宋体" w:cs="宋体"/>
          <w:bCs/>
          <w:sz w:val="24"/>
        </w:rPr>
        <w:t>》的清单范围内优先采购的节能产品、</w:t>
      </w:r>
      <w:r>
        <w:rPr>
          <w:rFonts w:ascii="宋体" w:hAnsi="宋体" w:cs="宋体"/>
          <w:bCs/>
          <w:sz w:val="24"/>
        </w:rPr>
        <w:t>环境标志产品类别</w:t>
      </w:r>
      <w:r>
        <w:rPr>
          <w:rFonts w:hint="eastAsia" w:ascii="宋体" w:hAnsi="宋体" w:cs="宋体"/>
          <w:bCs/>
          <w:sz w:val="24"/>
        </w:rPr>
        <w:t>，对于具有国家确定的认证机构出具的、处于有效期之内的节能产品或环境标志产品认证证书的，对节能产品或环境标志产品的价格分别给予3</w:t>
      </w:r>
      <w:r>
        <w:rPr>
          <w:rFonts w:ascii="宋体" w:hAnsi="宋体" w:cs="宋体"/>
          <w:bCs/>
          <w:sz w:val="24"/>
        </w:rPr>
        <w:t>%</w:t>
      </w:r>
      <w:r>
        <w:rPr>
          <w:rFonts w:hint="eastAsia" w:ascii="宋体" w:hAnsi="宋体" w:cs="宋体"/>
          <w:bCs/>
          <w:sz w:val="24"/>
        </w:rPr>
        <w:t>的价格扣除。3）属于品目清单范围内的节能或环境标志产品，应当提供国家确定的认证机构出具的、处于有效期之内的节能产品或环境标志产品认证证书复印件，并加盖</w:t>
      </w:r>
      <w:r>
        <w:rPr>
          <w:rFonts w:hint="eastAsia" w:ascii="宋体" w:hAnsi="宋体" w:cs="宋体"/>
          <w:bCs/>
          <w:sz w:val="24"/>
          <w:lang w:eastAsia="zh-CN"/>
        </w:rPr>
        <w:t>响应供应商</w:t>
      </w:r>
      <w:r>
        <w:rPr>
          <w:rFonts w:hint="eastAsia" w:ascii="宋体" w:hAnsi="宋体" w:cs="宋体"/>
          <w:bCs/>
          <w:sz w:val="24"/>
        </w:rPr>
        <w:t>单位的公章。4）对属于强制采购的节能产品，节能要求作为实质性响应指标，不再享受评审优惠。</w:t>
      </w:r>
    </w:p>
    <w:p w14:paraId="7C5AB9CC">
      <w:pPr>
        <w:spacing w:line="360" w:lineRule="auto"/>
        <w:ind w:firstLine="482" w:firstLineChars="200"/>
        <w:rPr>
          <w:rFonts w:ascii="宋体" w:hAnsi="宋体"/>
          <w:b/>
          <w:sz w:val="24"/>
        </w:rPr>
      </w:pPr>
      <w:r>
        <w:rPr>
          <w:rFonts w:hint="eastAsia" w:ascii="宋体" w:hAnsi="宋体"/>
          <w:b/>
          <w:sz w:val="24"/>
        </w:rPr>
        <w:t>5.综合得分</w:t>
      </w:r>
    </w:p>
    <w:p w14:paraId="2B682E57">
      <w:pPr>
        <w:pStyle w:val="60"/>
        <w:widowControl/>
        <w:spacing w:line="360" w:lineRule="auto"/>
        <w:ind w:firstLine="424" w:firstLineChars="177"/>
        <w:jc w:val="left"/>
        <w:rPr>
          <w:rFonts w:ascii="楷体_GB2312"/>
          <w:sz w:val="24"/>
        </w:rPr>
      </w:pPr>
      <w:r>
        <w:rPr>
          <w:rFonts w:hint="eastAsia" w:ascii="宋体" w:hAnsi="宋体" w:cs="宋体"/>
          <w:bCs/>
          <w:sz w:val="24"/>
        </w:rPr>
        <w:t>综合得分=技术得分+商务得分+价格得分</w:t>
      </w:r>
    </w:p>
    <w:p w14:paraId="3497A662">
      <w:pPr>
        <w:spacing w:line="360" w:lineRule="auto"/>
        <w:jc w:val="left"/>
        <w:rPr>
          <w:b/>
          <w:sz w:val="24"/>
        </w:rPr>
      </w:pPr>
      <w:bookmarkStart w:id="636" w:name="_Toc91288855"/>
      <w:bookmarkStart w:id="637" w:name="_Toc90148929"/>
      <w:r>
        <w:rPr>
          <w:rFonts w:hint="eastAsia"/>
          <w:b/>
          <w:sz w:val="24"/>
        </w:rPr>
        <w:t>三、定标</w:t>
      </w:r>
      <w:bookmarkEnd w:id="636"/>
      <w:bookmarkEnd w:id="637"/>
    </w:p>
    <w:p w14:paraId="239D92F9">
      <w:pPr>
        <w:pStyle w:val="60"/>
        <w:widowControl/>
        <w:spacing w:line="360" w:lineRule="auto"/>
        <w:ind w:firstLine="424" w:firstLineChars="177"/>
        <w:jc w:val="left"/>
        <w:rPr>
          <w:rFonts w:ascii="宋体" w:hAnsi="宋体"/>
          <w:sz w:val="24"/>
        </w:rPr>
      </w:pPr>
      <w:r>
        <w:rPr>
          <w:rFonts w:hint="eastAsia" w:ascii="宋体" w:hAnsi="宋体"/>
          <w:sz w:val="24"/>
        </w:rPr>
        <w:t>1.评审小组按照</w:t>
      </w:r>
      <w:r>
        <w:rPr>
          <w:rFonts w:hint="eastAsia" w:ascii="宋体" w:hAnsi="宋体"/>
          <w:sz w:val="24"/>
          <w:lang w:eastAsia="zh-CN"/>
        </w:rPr>
        <w:t>遴选文件</w:t>
      </w:r>
      <w:r>
        <w:rPr>
          <w:rFonts w:hint="eastAsia" w:ascii="宋体" w:hAnsi="宋体"/>
          <w:sz w:val="24"/>
        </w:rPr>
        <w:t>确定的</w:t>
      </w:r>
      <w:r>
        <w:rPr>
          <w:rFonts w:hint="eastAsia" w:ascii="宋体" w:hAnsi="宋体"/>
          <w:sz w:val="24"/>
          <w:lang w:eastAsia="zh-CN"/>
        </w:rPr>
        <w:t>评审</w:t>
      </w:r>
      <w:r>
        <w:rPr>
          <w:rFonts w:hint="eastAsia" w:ascii="宋体" w:hAnsi="宋体"/>
          <w:sz w:val="24"/>
        </w:rPr>
        <w:t>方法、步骤、标准，对</w:t>
      </w:r>
      <w:r>
        <w:rPr>
          <w:rFonts w:hint="eastAsia" w:ascii="宋体" w:hAnsi="宋体"/>
          <w:sz w:val="24"/>
          <w:lang w:eastAsia="zh-CN"/>
        </w:rPr>
        <w:t>响应文件</w:t>
      </w:r>
      <w:r>
        <w:rPr>
          <w:rFonts w:hint="eastAsia" w:ascii="宋体" w:hAnsi="宋体"/>
          <w:sz w:val="24"/>
        </w:rPr>
        <w:t>进行评审，提出书面评审报告，按照</w:t>
      </w:r>
      <w:r>
        <w:rPr>
          <w:rFonts w:hint="eastAsia" w:ascii="宋体" w:hAnsi="宋体"/>
          <w:sz w:val="24"/>
          <w:lang w:eastAsia="zh-CN"/>
        </w:rPr>
        <w:t>遴选文件</w:t>
      </w:r>
      <w:r>
        <w:rPr>
          <w:rFonts w:hint="eastAsia" w:ascii="宋体" w:hAnsi="宋体"/>
          <w:sz w:val="24"/>
        </w:rPr>
        <w:t>规定的优先排列顺序推荐2名</w:t>
      </w:r>
      <w:r>
        <w:rPr>
          <w:rFonts w:hint="eastAsia" w:ascii="宋体" w:hAnsi="宋体"/>
          <w:sz w:val="24"/>
          <w:lang w:eastAsia="zh-CN"/>
        </w:rPr>
        <w:t>成交候选供应商</w:t>
      </w:r>
      <w:r>
        <w:rPr>
          <w:rFonts w:hint="eastAsia" w:ascii="宋体" w:hAnsi="宋体"/>
          <w:sz w:val="24"/>
        </w:rPr>
        <w:t>名单。</w:t>
      </w:r>
    </w:p>
    <w:p w14:paraId="22AB0503">
      <w:pPr>
        <w:pStyle w:val="60"/>
        <w:widowControl/>
        <w:spacing w:line="360" w:lineRule="auto"/>
        <w:ind w:firstLine="424" w:firstLineChars="177"/>
        <w:jc w:val="left"/>
        <w:rPr>
          <w:rFonts w:ascii="宋体" w:hAnsi="宋体"/>
          <w:sz w:val="24"/>
        </w:rPr>
      </w:pPr>
      <w:r>
        <w:rPr>
          <w:rFonts w:hint="eastAsia" w:ascii="宋体" w:hAnsi="宋体"/>
          <w:sz w:val="24"/>
        </w:rPr>
        <w:t>2.综合得分相同的，按照报价由低到高的顺序推荐。综合得分且报价相同的，名次由评审委员会抽签确定。</w:t>
      </w:r>
    </w:p>
    <w:p w14:paraId="0AD4F2C0">
      <w:pPr>
        <w:pStyle w:val="60"/>
        <w:widowControl/>
        <w:spacing w:line="360" w:lineRule="auto"/>
        <w:ind w:firstLine="424" w:firstLineChars="177"/>
        <w:jc w:val="left"/>
        <w:rPr>
          <w:rFonts w:hint="eastAsia" w:ascii="宋体" w:hAnsi="宋体"/>
          <w:sz w:val="24"/>
        </w:rPr>
      </w:pPr>
      <w:r>
        <w:rPr>
          <w:rFonts w:hint="eastAsia" w:ascii="宋体" w:hAnsi="宋体"/>
          <w:sz w:val="24"/>
        </w:rPr>
        <w:t>3.提供相同品牌产品（非单一产品采购，以核心产品为准。多个核心产品的，有一种产品品牌相同，即视为提供相同品牌产品），评审后得分最高的同品牌</w:t>
      </w:r>
      <w:r>
        <w:rPr>
          <w:rFonts w:hint="eastAsia" w:ascii="宋体" w:hAnsi="宋体"/>
          <w:sz w:val="24"/>
          <w:lang w:val="en-US" w:eastAsia="zh-CN"/>
        </w:rPr>
        <w:t>响应</w:t>
      </w:r>
      <w:r>
        <w:rPr>
          <w:rFonts w:hint="eastAsia" w:ascii="宋体" w:hAnsi="宋体"/>
          <w:sz w:val="24"/>
        </w:rPr>
        <w:t>供应商获得</w:t>
      </w:r>
      <w:r>
        <w:rPr>
          <w:rFonts w:hint="eastAsia" w:ascii="宋体" w:hAnsi="宋体"/>
          <w:sz w:val="24"/>
          <w:lang w:val="en-US" w:eastAsia="zh-CN"/>
        </w:rPr>
        <w:t>成交候选供应商</w:t>
      </w:r>
      <w:r>
        <w:rPr>
          <w:rFonts w:hint="eastAsia" w:ascii="宋体" w:hAnsi="宋体"/>
          <w:sz w:val="24"/>
        </w:rPr>
        <w:t>推荐资格；其他同品牌</w:t>
      </w:r>
      <w:r>
        <w:rPr>
          <w:rFonts w:hint="eastAsia" w:ascii="宋体" w:hAnsi="宋体"/>
          <w:sz w:val="24"/>
          <w:lang w:eastAsia="zh-CN"/>
        </w:rPr>
        <w:t>响应供应商</w:t>
      </w:r>
      <w:r>
        <w:rPr>
          <w:rFonts w:hint="eastAsia" w:ascii="宋体" w:hAnsi="宋体"/>
          <w:sz w:val="24"/>
        </w:rPr>
        <w:t>不作为</w:t>
      </w:r>
      <w:r>
        <w:rPr>
          <w:rFonts w:hint="eastAsia" w:ascii="宋体" w:hAnsi="宋体"/>
          <w:sz w:val="24"/>
          <w:lang w:val="en-US" w:eastAsia="zh-CN"/>
        </w:rPr>
        <w:t>成交候选供应商</w:t>
      </w:r>
      <w:r>
        <w:rPr>
          <w:rFonts w:hint="eastAsia" w:ascii="宋体" w:hAnsi="宋体"/>
          <w:sz w:val="24"/>
        </w:rPr>
        <w:t>。</w:t>
      </w:r>
    </w:p>
    <w:p w14:paraId="0CE994C5">
      <w:pPr>
        <w:pStyle w:val="60"/>
        <w:widowControl/>
        <w:spacing w:line="360" w:lineRule="auto"/>
        <w:ind w:firstLine="424" w:firstLineChars="177"/>
        <w:jc w:val="left"/>
        <w:rPr>
          <w:rFonts w:ascii="宋体" w:hAnsi="宋体"/>
          <w:sz w:val="24"/>
        </w:rPr>
      </w:pPr>
      <w:r>
        <w:rPr>
          <w:rFonts w:hint="eastAsia" w:ascii="宋体" w:hAnsi="宋体"/>
          <w:sz w:val="24"/>
          <w:lang w:val="en-US" w:eastAsia="zh-CN"/>
        </w:rPr>
        <w:t>4.</w:t>
      </w:r>
      <w:r>
        <w:rPr>
          <w:rFonts w:hint="eastAsia" w:ascii="宋体" w:hAnsi="宋体"/>
          <w:sz w:val="24"/>
        </w:rPr>
        <w:t>评审小组成员对需要共同认定的事项存在争议的，应当按照少数服从多数的原则作出结论。持不同意见的评审小组成员应当在评审报告上签署不同意见及理由，否则视为同意评审报告。</w:t>
      </w:r>
    </w:p>
    <w:p w14:paraId="7BD6947A">
      <w:pPr>
        <w:pStyle w:val="60"/>
        <w:widowControl/>
        <w:spacing w:line="360" w:lineRule="auto"/>
        <w:ind w:firstLine="424" w:firstLineChars="177"/>
        <w:jc w:val="left"/>
        <w:rPr>
          <w:rFonts w:ascii="宋体" w:hAnsi="宋体" w:cs="宋体"/>
          <w:bCs/>
          <w:sz w:val="24"/>
        </w:rPr>
      </w:pPr>
      <w:r>
        <w:rPr>
          <w:rFonts w:hint="eastAsia" w:ascii="宋体" w:hAnsi="宋体"/>
          <w:sz w:val="24"/>
          <w:lang w:val="en-US" w:eastAsia="zh-CN"/>
        </w:rPr>
        <w:t>5</w:t>
      </w:r>
      <w:r>
        <w:rPr>
          <w:rFonts w:hint="eastAsia" w:ascii="宋体" w:hAnsi="宋体"/>
          <w:sz w:val="24"/>
        </w:rPr>
        <w:t>.</w:t>
      </w:r>
      <w:r>
        <w:rPr>
          <w:rFonts w:hint="eastAsia" w:ascii="宋体" w:hAnsi="宋体" w:cs="宋体"/>
          <w:bCs/>
          <w:sz w:val="24"/>
          <w:lang w:eastAsia="zh-CN"/>
        </w:rPr>
        <w:t>遴选服务单位</w:t>
      </w:r>
      <w:r>
        <w:rPr>
          <w:rFonts w:ascii="宋体" w:hAnsi="宋体" w:cs="宋体"/>
          <w:bCs/>
          <w:sz w:val="24"/>
        </w:rPr>
        <w:t>提</w:t>
      </w:r>
      <w:r>
        <w:rPr>
          <w:rFonts w:hint="eastAsia" w:ascii="宋体" w:hAnsi="宋体" w:cs="宋体"/>
          <w:bCs/>
          <w:sz w:val="24"/>
        </w:rPr>
        <w:t>交</w:t>
      </w:r>
      <w:r>
        <w:rPr>
          <w:rFonts w:hint="eastAsia" w:ascii="宋体" w:hAnsi="宋体" w:cs="宋体"/>
          <w:bCs/>
          <w:sz w:val="24"/>
          <w:lang w:eastAsia="zh-CN"/>
        </w:rPr>
        <w:t>评审</w:t>
      </w:r>
      <w:r>
        <w:rPr>
          <w:rFonts w:ascii="宋体" w:hAnsi="宋体" w:cs="宋体"/>
          <w:bCs/>
          <w:sz w:val="24"/>
        </w:rPr>
        <w:t>报告报</w:t>
      </w:r>
      <w:r>
        <w:rPr>
          <w:rFonts w:hint="eastAsia" w:ascii="宋体" w:hAnsi="宋体" w:cs="宋体"/>
          <w:bCs/>
          <w:sz w:val="24"/>
        </w:rPr>
        <w:t>采购人确认，采购人在收到</w:t>
      </w:r>
      <w:r>
        <w:rPr>
          <w:rFonts w:hint="eastAsia" w:ascii="宋体" w:hAnsi="宋体" w:cs="宋体"/>
          <w:bCs/>
          <w:sz w:val="24"/>
          <w:lang w:eastAsia="zh-CN"/>
        </w:rPr>
        <w:t>评审</w:t>
      </w:r>
      <w:r>
        <w:rPr>
          <w:rFonts w:hint="eastAsia" w:ascii="宋体" w:hAnsi="宋体" w:cs="宋体"/>
          <w:bCs/>
          <w:sz w:val="24"/>
        </w:rPr>
        <w:t>报告之日起５个工作日内，在</w:t>
      </w:r>
      <w:r>
        <w:rPr>
          <w:rFonts w:hint="eastAsia" w:ascii="宋体" w:hAnsi="宋体" w:cs="宋体"/>
          <w:bCs/>
          <w:sz w:val="24"/>
          <w:lang w:eastAsia="zh-CN"/>
        </w:rPr>
        <w:t>评审</w:t>
      </w:r>
      <w:r>
        <w:rPr>
          <w:rFonts w:hint="eastAsia" w:ascii="宋体" w:hAnsi="宋体" w:cs="宋体"/>
          <w:bCs/>
          <w:sz w:val="24"/>
        </w:rPr>
        <w:t>报告确定的</w:t>
      </w:r>
      <w:r>
        <w:rPr>
          <w:rFonts w:hint="eastAsia" w:ascii="宋体" w:hAnsi="宋体" w:cs="宋体"/>
          <w:bCs/>
          <w:sz w:val="24"/>
          <w:lang w:eastAsia="zh-CN"/>
        </w:rPr>
        <w:t>成交候选供应商</w:t>
      </w:r>
      <w:r>
        <w:rPr>
          <w:rFonts w:hint="eastAsia" w:ascii="宋体" w:hAnsi="宋体" w:cs="宋体"/>
          <w:bCs/>
          <w:sz w:val="24"/>
        </w:rPr>
        <w:t>名单中按顺序确定</w:t>
      </w:r>
      <w:r>
        <w:rPr>
          <w:rFonts w:hint="eastAsia" w:ascii="宋体" w:hAnsi="宋体" w:cs="宋体"/>
          <w:bCs/>
          <w:sz w:val="24"/>
          <w:lang w:eastAsia="zh-CN"/>
        </w:rPr>
        <w:t>成交供应商</w:t>
      </w:r>
      <w:r>
        <w:rPr>
          <w:rFonts w:hint="eastAsia" w:ascii="宋体" w:hAnsi="宋体" w:cs="宋体"/>
          <w:bCs/>
          <w:sz w:val="24"/>
        </w:rPr>
        <w:t>。</w:t>
      </w:r>
      <w:r>
        <w:rPr>
          <w:rFonts w:hint="eastAsia" w:ascii="宋体" w:hAnsi="宋体" w:cs="宋体"/>
          <w:bCs/>
          <w:sz w:val="24"/>
          <w:lang w:eastAsia="zh-CN"/>
        </w:rPr>
        <w:t>遴选服务单位</w:t>
      </w:r>
      <w:r>
        <w:rPr>
          <w:rFonts w:hint="eastAsia" w:ascii="宋体" w:hAnsi="宋体" w:cs="宋体"/>
          <w:bCs/>
          <w:sz w:val="24"/>
        </w:rPr>
        <w:t>按照采购人确认的</w:t>
      </w:r>
      <w:r>
        <w:rPr>
          <w:rFonts w:hint="eastAsia" w:ascii="宋体" w:hAnsi="宋体" w:cs="宋体"/>
          <w:bCs/>
          <w:sz w:val="24"/>
          <w:lang w:eastAsia="zh-CN"/>
        </w:rPr>
        <w:t>成交</w:t>
      </w:r>
      <w:r>
        <w:rPr>
          <w:rFonts w:hint="eastAsia" w:ascii="宋体" w:hAnsi="宋体" w:cs="宋体"/>
          <w:bCs/>
          <w:sz w:val="24"/>
        </w:rPr>
        <w:t>结果在相关媒体上发布</w:t>
      </w:r>
      <w:r>
        <w:rPr>
          <w:rFonts w:hint="eastAsia" w:ascii="宋体" w:hAnsi="宋体" w:cs="宋体"/>
          <w:bCs/>
          <w:sz w:val="24"/>
          <w:lang w:eastAsia="zh-CN"/>
        </w:rPr>
        <w:t>成交</w:t>
      </w:r>
      <w:r>
        <w:rPr>
          <w:rFonts w:hint="eastAsia" w:ascii="宋体" w:hAnsi="宋体" w:cs="宋体"/>
          <w:bCs/>
          <w:sz w:val="24"/>
        </w:rPr>
        <w:t>公告，并同时向</w:t>
      </w:r>
      <w:r>
        <w:rPr>
          <w:rFonts w:hint="eastAsia" w:ascii="宋体" w:hAnsi="宋体" w:cs="宋体"/>
          <w:bCs/>
          <w:sz w:val="24"/>
          <w:lang w:eastAsia="zh-CN"/>
        </w:rPr>
        <w:t>成交供应商</w:t>
      </w:r>
      <w:r>
        <w:rPr>
          <w:rFonts w:hint="eastAsia" w:ascii="宋体" w:hAnsi="宋体" w:cs="宋体"/>
          <w:bCs/>
          <w:sz w:val="24"/>
        </w:rPr>
        <w:t>发出《</w:t>
      </w:r>
      <w:r>
        <w:rPr>
          <w:rFonts w:hint="eastAsia" w:ascii="宋体" w:hAnsi="宋体" w:cs="宋体"/>
          <w:bCs/>
          <w:sz w:val="24"/>
          <w:lang w:eastAsia="zh-CN"/>
        </w:rPr>
        <w:t>成交</w:t>
      </w:r>
      <w:r>
        <w:rPr>
          <w:rFonts w:hint="eastAsia" w:ascii="宋体" w:hAnsi="宋体" w:cs="宋体"/>
          <w:bCs/>
          <w:sz w:val="24"/>
        </w:rPr>
        <w:t>通知书》。</w:t>
      </w:r>
    </w:p>
    <w:p w14:paraId="4CBE5018">
      <w:pPr>
        <w:pStyle w:val="60"/>
        <w:widowControl/>
        <w:spacing w:line="360" w:lineRule="auto"/>
        <w:ind w:firstLine="424" w:firstLineChars="177"/>
        <w:jc w:val="left"/>
        <w:rPr>
          <w:rFonts w:ascii="宋体" w:hAnsi="宋体" w:cs="宋体"/>
          <w:bCs/>
          <w:sz w:val="24"/>
        </w:rPr>
      </w:pPr>
      <w:r>
        <w:rPr>
          <w:rFonts w:hint="eastAsia" w:ascii="宋体" w:hAnsi="宋体" w:cs="宋体"/>
          <w:bCs/>
          <w:sz w:val="24"/>
          <w:lang w:val="en-US" w:eastAsia="zh-CN"/>
        </w:rPr>
        <w:t>6</w:t>
      </w:r>
      <w:r>
        <w:rPr>
          <w:rFonts w:hint="eastAsia" w:ascii="宋体" w:hAnsi="宋体" w:cs="宋体"/>
          <w:bCs/>
          <w:sz w:val="24"/>
        </w:rPr>
        <w:t>.</w:t>
      </w:r>
      <w:r>
        <w:rPr>
          <w:rFonts w:hint="eastAsia" w:ascii="宋体" w:hAnsi="宋体" w:cs="宋体"/>
          <w:bCs/>
          <w:sz w:val="24"/>
          <w:lang w:eastAsia="zh-CN"/>
        </w:rPr>
        <w:t>成交供应商</w:t>
      </w:r>
      <w:r>
        <w:rPr>
          <w:rFonts w:hint="eastAsia" w:ascii="宋体" w:hAnsi="宋体" w:cs="宋体"/>
          <w:bCs/>
          <w:sz w:val="24"/>
        </w:rPr>
        <w:t>拒绝与采购人签订合同的，采购人可以按照评审报告推荐的</w:t>
      </w:r>
      <w:r>
        <w:rPr>
          <w:rFonts w:hint="eastAsia" w:ascii="宋体" w:hAnsi="宋体" w:cs="宋体"/>
          <w:bCs/>
          <w:sz w:val="24"/>
          <w:lang w:eastAsia="zh-CN"/>
        </w:rPr>
        <w:t>成交候选供应商</w:t>
      </w:r>
      <w:r>
        <w:rPr>
          <w:rFonts w:hint="eastAsia" w:ascii="宋体" w:hAnsi="宋体" w:cs="宋体"/>
          <w:bCs/>
          <w:sz w:val="24"/>
        </w:rPr>
        <w:t>名单排序，确定下一候选</w:t>
      </w:r>
      <w:r>
        <w:rPr>
          <w:rFonts w:hint="eastAsia" w:ascii="宋体" w:hAnsi="宋体" w:cs="宋体"/>
          <w:bCs/>
          <w:sz w:val="24"/>
          <w:lang w:val="en-US" w:eastAsia="zh-CN"/>
        </w:rPr>
        <w:t>供应商</w:t>
      </w:r>
      <w:r>
        <w:rPr>
          <w:rFonts w:hint="eastAsia" w:ascii="宋体" w:hAnsi="宋体" w:cs="宋体"/>
          <w:bCs/>
          <w:sz w:val="24"/>
        </w:rPr>
        <w:t>为</w:t>
      </w:r>
      <w:r>
        <w:rPr>
          <w:rFonts w:hint="eastAsia" w:ascii="宋体" w:hAnsi="宋体" w:cs="宋体"/>
          <w:bCs/>
          <w:sz w:val="24"/>
          <w:lang w:eastAsia="zh-CN"/>
        </w:rPr>
        <w:t>成交供应商</w:t>
      </w:r>
      <w:r>
        <w:rPr>
          <w:rFonts w:hint="eastAsia" w:ascii="宋体" w:hAnsi="宋体" w:cs="宋体"/>
          <w:bCs/>
          <w:sz w:val="24"/>
        </w:rPr>
        <w:t>，也可以重新开展采购活动。</w:t>
      </w:r>
    </w:p>
    <w:p w14:paraId="568E6CD3">
      <w:pPr>
        <w:pStyle w:val="60"/>
        <w:widowControl/>
        <w:spacing w:line="360" w:lineRule="auto"/>
        <w:ind w:firstLine="424" w:firstLineChars="177"/>
        <w:jc w:val="left"/>
        <w:rPr>
          <w:rFonts w:ascii="宋体" w:hAnsi="宋体" w:cs="宋体"/>
          <w:bCs/>
          <w:sz w:val="24"/>
        </w:rPr>
      </w:pPr>
      <w:r>
        <w:rPr>
          <w:rFonts w:hint="eastAsia" w:ascii="宋体" w:hAnsi="宋体" w:cs="宋体"/>
          <w:bCs/>
          <w:sz w:val="24"/>
          <w:lang w:val="en-US" w:eastAsia="zh-CN"/>
        </w:rPr>
        <w:t>7</w:t>
      </w:r>
      <w:r>
        <w:rPr>
          <w:rFonts w:hint="eastAsia" w:ascii="宋体" w:hAnsi="宋体" w:cs="宋体"/>
          <w:bCs/>
          <w:sz w:val="24"/>
        </w:rPr>
        <w:t>.</w:t>
      </w:r>
      <w:r>
        <w:rPr>
          <w:rFonts w:hint="eastAsia" w:ascii="宋体" w:hAnsi="宋体" w:cs="宋体"/>
          <w:bCs/>
          <w:sz w:val="24"/>
          <w:lang w:eastAsia="zh-CN"/>
        </w:rPr>
        <w:t>成交供应商</w:t>
      </w:r>
      <w:r>
        <w:rPr>
          <w:rFonts w:hint="eastAsia" w:ascii="宋体" w:hAnsi="宋体" w:cs="宋体"/>
          <w:bCs/>
          <w:sz w:val="24"/>
        </w:rPr>
        <w:t>放弃</w:t>
      </w:r>
      <w:r>
        <w:rPr>
          <w:rFonts w:hint="eastAsia" w:ascii="宋体" w:hAnsi="宋体" w:cs="宋体"/>
          <w:bCs/>
          <w:sz w:val="24"/>
          <w:lang w:eastAsia="zh-CN"/>
        </w:rPr>
        <w:t>成交</w:t>
      </w:r>
      <w:r>
        <w:rPr>
          <w:rFonts w:hint="eastAsia" w:ascii="宋体" w:hAnsi="宋体" w:cs="宋体"/>
          <w:bCs/>
          <w:sz w:val="24"/>
        </w:rPr>
        <w:t>或者</w:t>
      </w:r>
      <w:r>
        <w:rPr>
          <w:rFonts w:hint="eastAsia" w:ascii="宋体" w:hAnsi="宋体" w:cs="宋体"/>
          <w:bCs/>
          <w:sz w:val="24"/>
          <w:lang w:eastAsia="zh-CN"/>
        </w:rPr>
        <w:t>成交</w:t>
      </w:r>
      <w:r>
        <w:rPr>
          <w:rFonts w:hint="eastAsia" w:ascii="宋体" w:hAnsi="宋体" w:cs="宋体"/>
          <w:bCs/>
          <w:sz w:val="24"/>
        </w:rPr>
        <w:t>资格被依法确认无效的，采购人可以按照排序从其他</w:t>
      </w:r>
      <w:r>
        <w:rPr>
          <w:rFonts w:hint="eastAsia" w:ascii="宋体" w:hAnsi="宋体" w:cs="宋体"/>
          <w:bCs/>
          <w:sz w:val="24"/>
          <w:lang w:eastAsia="zh-CN"/>
        </w:rPr>
        <w:t>成交候选供应商</w:t>
      </w:r>
      <w:r>
        <w:rPr>
          <w:rFonts w:hint="eastAsia" w:ascii="宋体" w:hAnsi="宋体" w:cs="宋体"/>
          <w:bCs/>
          <w:sz w:val="24"/>
        </w:rPr>
        <w:t>中确定</w:t>
      </w:r>
      <w:r>
        <w:rPr>
          <w:rFonts w:hint="eastAsia" w:ascii="宋体" w:hAnsi="宋体" w:cs="宋体"/>
          <w:bCs/>
          <w:sz w:val="24"/>
          <w:lang w:eastAsia="zh-CN"/>
        </w:rPr>
        <w:t>成交供应商</w:t>
      </w:r>
      <w:r>
        <w:rPr>
          <w:rFonts w:hint="eastAsia" w:ascii="宋体" w:hAnsi="宋体" w:cs="宋体"/>
          <w:bCs/>
          <w:sz w:val="24"/>
        </w:rPr>
        <w:t>，没有其他</w:t>
      </w:r>
      <w:r>
        <w:rPr>
          <w:rFonts w:hint="eastAsia" w:ascii="宋体" w:hAnsi="宋体" w:cs="宋体"/>
          <w:bCs/>
          <w:sz w:val="24"/>
          <w:lang w:eastAsia="zh-CN"/>
        </w:rPr>
        <w:t>成交候选供应商</w:t>
      </w:r>
      <w:r>
        <w:rPr>
          <w:rFonts w:hint="eastAsia" w:ascii="宋体" w:hAnsi="宋体" w:cs="宋体"/>
          <w:bCs/>
          <w:sz w:val="24"/>
        </w:rPr>
        <w:t>的，应当重新组织采购活动。</w:t>
      </w:r>
    </w:p>
    <w:p w14:paraId="45153DE3">
      <w:pPr>
        <w:spacing w:line="360" w:lineRule="auto"/>
        <w:jc w:val="left"/>
        <w:rPr>
          <w:b/>
          <w:sz w:val="24"/>
        </w:rPr>
      </w:pPr>
      <w:bookmarkStart w:id="638" w:name="_Toc91288856"/>
      <w:bookmarkStart w:id="639" w:name="_Toc90148930"/>
      <w:bookmarkStart w:id="640" w:name="_Toc418023343"/>
      <w:bookmarkStart w:id="641" w:name="_Toc358307757"/>
      <w:bookmarkStart w:id="642" w:name="_Toc160609601"/>
      <w:bookmarkStart w:id="643" w:name="_Toc414510790"/>
      <w:bookmarkStart w:id="644" w:name="_Toc438722140"/>
      <w:bookmarkStart w:id="645" w:name="_Toc439679278"/>
      <w:bookmarkStart w:id="646" w:name="_Toc369081828"/>
      <w:bookmarkStart w:id="647" w:name="_Toc447233593"/>
      <w:bookmarkStart w:id="648" w:name="_Toc439513455"/>
      <w:bookmarkStart w:id="649" w:name="_Toc439513171"/>
      <w:bookmarkStart w:id="650" w:name="_Toc438513744"/>
      <w:bookmarkStart w:id="651" w:name="_Toc422865431"/>
      <w:bookmarkStart w:id="652" w:name="_Toc273342940"/>
      <w:bookmarkStart w:id="653" w:name="_Toc425347672"/>
      <w:bookmarkStart w:id="654" w:name="_Toc416208496"/>
      <w:bookmarkStart w:id="655" w:name="_Toc422162002"/>
      <w:bookmarkStart w:id="656" w:name="_Toc438508607"/>
      <w:r>
        <w:rPr>
          <w:rFonts w:hint="eastAsia"/>
          <w:b/>
          <w:sz w:val="24"/>
        </w:rPr>
        <w:t>四、合同</w:t>
      </w:r>
      <w:bookmarkEnd w:id="638"/>
      <w:bookmarkEnd w:id="639"/>
    </w:p>
    <w:p w14:paraId="287B6E17">
      <w:pPr>
        <w:pStyle w:val="60"/>
        <w:widowControl/>
        <w:spacing w:line="360" w:lineRule="auto"/>
        <w:ind w:firstLine="424" w:firstLineChars="177"/>
        <w:jc w:val="left"/>
        <w:rPr>
          <w:rFonts w:ascii="宋体" w:hAnsi="宋体" w:cs="宋体"/>
          <w:bCs/>
          <w:sz w:val="24"/>
        </w:rPr>
      </w:pPr>
      <w:bookmarkStart w:id="657" w:name="_Toc90148931"/>
      <w:bookmarkStart w:id="658" w:name="_Toc91288857"/>
      <w:r>
        <w:rPr>
          <w:rFonts w:hint="eastAsia" w:ascii="宋体" w:hAnsi="宋体" w:cs="宋体"/>
          <w:bCs/>
          <w:sz w:val="24"/>
        </w:rPr>
        <w:t>1.</w:t>
      </w:r>
      <w:r>
        <w:rPr>
          <w:rFonts w:ascii="宋体" w:hAnsi="宋体" w:cs="宋体"/>
          <w:bCs/>
          <w:sz w:val="24"/>
        </w:rPr>
        <w:t>合同的订立</w:t>
      </w:r>
      <w:bookmarkEnd w:id="657"/>
      <w:bookmarkEnd w:id="658"/>
      <w:r>
        <w:rPr>
          <w:rFonts w:hint="eastAsia" w:ascii="宋体" w:hAnsi="宋体" w:cs="宋体"/>
          <w:bCs/>
          <w:sz w:val="24"/>
        </w:rPr>
        <w:t>。采购人应当自</w:t>
      </w:r>
      <w:r>
        <w:rPr>
          <w:rFonts w:hint="eastAsia" w:ascii="宋体" w:hAnsi="宋体" w:cs="宋体"/>
          <w:bCs/>
          <w:sz w:val="24"/>
          <w:lang w:eastAsia="zh-CN"/>
        </w:rPr>
        <w:t>成交</w:t>
      </w:r>
      <w:r>
        <w:rPr>
          <w:rFonts w:hint="eastAsia" w:ascii="宋体" w:hAnsi="宋体" w:cs="宋体"/>
          <w:bCs/>
          <w:sz w:val="24"/>
        </w:rPr>
        <w:t>通知书发出之日起三十日内，按照</w:t>
      </w:r>
      <w:r>
        <w:rPr>
          <w:rFonts w:hint="eastAsia" w:ascii="宋体" w:hAnsi="宋体" w:cs="宋体"/>
          <w:bCs/>
          <w:sz w:val="24"/>
          <w:lang w:eastAsia="zh-CN"/>
        </w:rPr>
        <w:t>遴选文件</w:t>
      </w:r>
      <w:r>
        <w:rPr>
          <w:rFonts w:hint="eastAsia" w:ascii="宋体" w:hAnsi="宋体" w:cs="宋体"/>
          <w:bCs/>
          <w:sz w:val="24"/>
        </w:rPr>
        <w:t>和</w:t>
      </w:r>
      <w:r>
        <w:rPr>
          <w:rFonts w:hint="eastAsia" w:ascii="宋体" w:hAnsi="宋体" w:cs="宋体"/>
          <w:bCs/>
          <w:sz w:val="24"/>
          <w:lang w:eastAsia="zh-CN"/>
        </w:rPr>
        <w:t>成交供应商响应文件</w:t>
      </w:r>
      <w:r>
        <w:rPr>
          <w:rFonts w:hint="eastAsia" w:ascii="宋体" w:hAnsi="宋体" w:cs="宋体"/>
          <w:bCs/>
          <w:sz w:val="24"/>
        </w:rPr>
        <w:t>的约定，与</w:t>
      </w:r>
      <w:r>
        <w:rPr>
          <w:rFonts w:hint="eastAsia" w:ascii="宋体" w:hAnsi="宋体" w:cs="宋体"/>
          <w:bCs/>
          <w:sz w:val="24"/>
          <w:lang w:eastAsia="zh-CN"/>
        </w:rPr>
        <w:t>成交供应商</w:t>
      </w:r>
      <w:r>
        <w:rPr>
          <w:rFonts w:hint="eastAsia" w:ascii="宋体" w:hAnsi="宋体" w:cs="宋体"/>
          <w:bCs/>
          <w:sz w:val="24"/>
        </w:rPr>
        <w:t>签订书面合同。采购人或者</w:t>
      </w:r>
      <w:r>
        <w:rPr>
          <w:rFonts w:hint="eastAsia" w:ascii="宋体" w:hAnsi="宋体" w:cs="宋体"/>
          <w:bCs/>
          <w:sz w:val="24"/>
          <w:lang w:eastAsia="zh-CN"/>
        </w:rPr>
        <w:t>遴选服务单位</w:t>
      </w:r>
      <w:r>
        <w:rPr>
          <w:rFonts w:hint="eastAsia" w:ascii="宋体" w:hAnsi="宋体" w:cs="宋体"/>
          <w:bCs/>
          <w:sz w:val="24"/>
        </w:rPr>
        <w:t>不得向</w:t>
      </w:r>
      <w:r>
        <w:rPr>
          <w:rFonts w:hint="eastAsia" w:ascii="宋体" w:hAnsi="宋体" w:cs="宋体"/>
          <w:bCs/>
          <w:sz w:val="24"/>
          <w:lang w:eastAsia="zh-CN"/>
        </w:rPr>
        <w:t>成交供应商</w:t>
      </w:r>
      <w:r>
        <w:rPr>
          <w:rFonts w:hint="eastAsia" w:ascii="宋体" w:hAnsi="宋体" w:cs="宋体"/>
          <w:bCs/>
          <w:sz w:val="24"/>
        </w:rPr>
        <w:t>提出任何不合理的要求作为签订合同的条件，不得与</w:t>
      </w:r>
      <w:r>
        <w:rPr>
          <w:rFonts w:hint="eastAsia" w:ascii="宋体" w:hAnsi="宋体" w:cs="宋体"/>
          <w:bCs/>
          <w:sz w:val="24"/>
          <w:lang w:eastAsia="zh-CN"/>
        </w:rPr>
        <w:t>成交供应商</w:t>
      </w:r>
      <w:r>
        <w:rPr>
          <w:rFonts w:hint="eastAsia" w:ascii="宋体" w:hAnsi="宋体" w:cs="宋体"/>
          <w:bCs/>
          <w:sz w:val="24"/>
        </w:rPr>
        <w:t xml:space="preserve">私下订立背离合同实质性内容的协议。 </w:t>
      </w:r>
    </w:p>
    <w:p w14:paraId="1917F8CD">
      <w:pPr>
        <w:pStyle w:val="60"/>
        <w:widowControl/>
        <w:spacing w:line="360" w:lineRule="auto"/>
        <w:ind w:firstLine="424" w:firstLineChars="177"/>
        <w:jc w:val="left"/>
        <w:rPr>
          <w:rFonts w:ascii="宋体" w:hAnsi="宋体" w:cs="宋体"/>
          <w:bCs/>
          <w:sz w:val="24"/>
        </w:rPr>
      </w:pPr>
      <w:bookmarkStart w:id="659" w:name="_Toc90148932"/>
      <w:bookmarkStart w:id="660" w:name="_Toc91288858"/>
      <w:r>
        <w:rPr>
          <w:rFonts w:hint="eastAsia" w:ascii="宋体" w:hAnsi="宋体" w:cs="宋体"/>
          <w:bCs/>
          <w:sz w:val="24"/>
        </w:rPr>
        <w:t>2.</w:t>
      </w:r>
      <w:r>
        <w:rPr>
          <w:rFonts w:ascii="宋体" w:hAnsi="宋体" w:cs="宋体"/>
          <w:bCs/>
          <w:sz w:val="24"/>
        </w:rPr>
        <w:t>合同的履行</w:t>
      </w:r>
      <w:bookmarkEnd w:id="659"/>
      <w:bookmarkEnd w:id="660"/>
      <w:r>
        <w:rPr>
          <w:rFonts w:hint="eastAsia" w:ascii="宋体" w:hAnsi="宋体" w:cs="宋体"/>
          <w:bCs/>
          <w:sz w:val="24"/>
        </w:rPr>
        <w:t>。合同订立后，合同各方不得擅自变更、中止或者终止合同。项目合同履行中，采购人需追加与合同标的相同的货物、工程或者服务的，在不改变合同其他条款的前提下，可以与</w:t>
      </w:r>
      <w:r>
        <w:rPr>
          <w:rFonts w:hint="eastAsia" w:ascii="宋体" w:hAnsi="宋体" w:cs="宋体"/>
          <w:bCs/>
          <w:sz w:val="24"/>
          <w:lang w:eastAsia="zh-CN"/>
        </w:rPr>
        <w:t>成交供应商</w:t>
      </w:r>
      <w:r>
        <w:rPr>
          <w:rFonts w:hint="eastAsia" w:ascii="宋体" w:hAnsi="宋体" w:cs="宋体"/>
          <w:bCs/>
          <w:sz w:val="24"/>
        </w:rPr>
        <w:t>签订补充合同。</w:t>
      </w:r>
    </w:p>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14:paraId="1EBE213E">
      <w:pPr>
        <w:spacing w:line="360" w:lineRule="auto"/>
        <w:jc w:val="left"/>
      </w:pPr>
      <w:bookmarkStart w:id="661" w:name="_Toc90148933"/>
      <w:bookmarkStart w:id="662" w:name="_Toc91288859"/>
      <w:bookmarkStart w:id="663" w:name="_Toc10600"/>
      <w:bookmarkStart w:id="664" w:name="_Toc504062542"/>
      <w:bookmarkStart w:id="665" w:name="_Toc65680726"/>
      <w:bookmarkStart w:id="666" w:name="_Toc514163578"/>
      <w:bookmarkStart w:id="667" w:name="_Toc77781876"/>
      <w:bookmarkStart w:id="668" w:name="_Toc821"/>
      <w:bookmarkStart w:id="669" w:name="_Toc51416860"/>
      <w:bookmarkStart w:id="670" w:name="_Toc24471641"/>
      <w:bookmarkStart w:id="671" w:name="_Toc66020776"/>
      <w:bookmarkStart w:id="672" w:name="_Toc55745681"/>
      <w:bookmarkStart w:id="673" w:name="_Toc69828235"/>
      <w:bookmarkStart w:id="674" w:name="_Toc11922012"/>
      <w:bookmarkStart w:id="675" w:name="_Toc513652326"/>
      <w:bookmarkStart w:id="676" w:name="_Toc82445268"/>
      <w:bookmarkStart w:id="677" w:name="_Toc51416537"/>
      <w:bookmarkStart w:id="678" w:name="_Toc515971210"/>
      <w:bookmarkStart w:id="679" w:name="_Toc82692201"/>
      <w:bookmarkStart w:id="680" w:name="_Toc55911495"/>
      <w:bookmarkStart w:id="681" w:name="_Toc78274976"/>
      <w:bookmarkStart w:id="682" w:name="_Toc78444620"/>
      <w:bookmarkStart w:id="683" w:name="_Toc503169263"/>
      <w:bookmarkStart w:id="684" w:name="_Toc71878608"/>
      <w:bookmarkStart w:id="685" w:name="_Toc504122278"/>
      <w:bookmarkStart w:id="686" w:name="_Toc504741274"/>
      <w:bookmarkStart w:id="687" w:name="_Toc75028787"/>
      <w:bookmarkStart w:id="688" w:name="_Toc19347"/>
      <w:bookmarkStart w:id="689" w:name="_Toc51778298"/>
      <w:bookmarkStart w:id="690" w:name="_Toc55671115"/>
      <w:bookmarkStart w:id="691" w:name="_Toc80869749"/>
      <w:r>
        <w:rPr>
          <w:b/>
          <w:sz w:val="24"/>
        </w:rPr>
        <w:t>五</w:t>
      </w:r>
      <w:r>
        <w:rPr>
          <w:rFonts w:hint="eastAsia"/>
          <w:b/>
          <w:sz w:val="24"/>
        </w:rPr>
        <w:t>、附表</w:t>
      </w:r>
      <w:bookmarkEnd w:id="661"/>
      <w:bookmarkEnd w:id="662"/>
      <w:r>
        <w:rPr>
          <w:rFonts w:hint="eastAsia"/>
          <w:b/>
          <w:sz w:val="24"/>
        </w:rPr>
        <w:t xml:space="preserve"> </w:t>
      </w:r>
    </w:p>
    <w:p w14:paraId="2B95B483">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1"/>
        <w:rPr>
          <w:rFonts w:ascii="宋体" w:hAnsi="宋体" w:cs="Tahoma"/>
          <w:b/>
          <w:sz w:val="24"/>
        </w:rPr>
      </w:pPr>
      <w:bookmarkStart w:id="692" w:name="_Toc32167"/>
      <w:bookmarkStart w:id="693" w:name="_Toc91288860"/>
      <w:bookmarkStart w:id="694" w:name="_Toc93997412"/>
      <w:bookmarkStart w:id="695" w:name="_Toc90148934"/>
      <w:bookmarkStart w:id="696" w:name="_Toc16807"/>
      <w:bookmarkStart w:id="697" w:name="_Toc14696"/>
      <w:r>
        <w:rPr>
          <w:rFonts w:hint="eastAsia" w:ascii="宋体" w:hAnsi="宋体" w:cs="Tahoma"/>
          <w:b/>
          <w:sz w:val="24"/>
        </w:rPr>
        <w:t>附表1 资格性、符合性审查表</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7327F18F">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Tahoma"/>
          <w:sz w:val="24"/>
        </w:rPr>
      </w:pPr>
      <w:r>
        <w:rPr>
          <w:rFonts w:hint="eastAsia" w:ascii="time of new roman" w:hAnsi="time of new roman"/>
          <w:sz w:val="24"/>
          <w:szCs w:val="24"/>
        </w:rPr>
        <w:t>项目名称：</w:t>
      </w:r>
      <w:r>
        <w:rPr>
          <w:rFonts w:hint="eastAsia" w:ascii="宋体" w:hAnsi="宋体" w:cs="Tahoma"/>
          <w:sz w:val="24"/>
          <w:lang w:eastAsia="zh-CN"/>
        </w:rPr>
        <w:t>广东省粤东技师学院海天数智化综合实训基地改造工程</w:t>
      </w:r>
    </w:p>
    <w:p w14:paraId="6554565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sz w:val="24"/>
          <w:lang w:eastAsia="zh-CN"/>
        </w:rPr>
      </w:pPr>
      <w:r>
        <w:rPr>
          <w:rFonts w:hint="eastAsia" w:ascii="宋体" w:hAnsi="宋体"/>
          <w:sz w:val="24"/>
          <w:szCs w:val="24"/>
        </w:rPr>
        <w:t>项目编号：</w:t>
      </w:r>
      <w:r>
        <w:rPr>
          <w:rFonts w:hint="eastAsia" w:ascii="宋体" w:cs="Tahoma"/>
          <w:bCs/>
          <w:sz w:val="24"/>
          <w:lang w:eastAsia="zh-CN"/>
        </w:rPr>
        <w:t>YL202411248</w:t>
      </w:r>
    </w:p>
    <w:tbl>
      <w:tblPr>
        <w:tblStyle w:val="50"/>
        <w:tblW w:w="4988" w:type="pct"/>
        <w:tblInd w:w="0" w:type="dxa"/>
        <w:tblLayout w:type="autofit"/>
        <w:tblCellMar>
          <w:top w:w="0" w:type="dxa"/>
          <w:left w:w="0" w:type="dxa"/>
          <w:bottom w:w="0" w:type="dxa"/>
          <w:right w:w="0" w:type="dxa"/>
        </w:tblCellMar>
      </w:tblPr>
      <w:tblGrid>
        <w:gridCol w:w="861"/>
        <w:gridCol w:w="8883"/>
      </w:tblGrid>
      <w:tr w14:paraId="3E39E995">
        <w:tblPrEx>
          <w:tblCellMar>
            <w:top w:w="0" w:type="dxa"/>
            <w:left w:w="0" w:type="dxa"/>
            <w:bottom w:w="0" w:type="dxa"/>
            <w:right w:w="0" w:type="dxa"/>
          </w:tblCellMar>
        </w:tblPrEx>
        <w:trPr>
          <w:cantSplit/>
          <w:trHeight w:val="850" w:hRule="atLeast"/>
        </w:trPr>
        <w:tc>
          <w:tcPr>
            <w:tcW w:w="442" w:type="pct"/>
            <w:tcBorders>
              <w:top w:val="single" w:color="auto" w:sz="4" w:space="0"/>
              <w:left w:val="single" w:color="auto" w:sz="4" w:space="0"/>
              <w:bottom w:val="single" w:color="000000" w:sz="4" w:space="0"/>
              <w:right w:val="single" w:color="auto" w:sz="4" w:space="0"/>
            </w:tcBorders>
            <w:tcMar>
              <w:top w:w="16" w:type="dxa"/>
              <w:left w:w="16" w:type="dxa"/>
              <w:bottom w:w="0" w:type="dxa"/>
              <w:right w:w="16" w:type="dxa"/>
            </w:tcMar>
            <w:vAlign w:val="center"/>
          </w:tcPr>
          <w:p w14:paraId="4918B36A">
            <w:pPr>
              <w:spacing w:line="360" w:lineRule="auto"/>
              <w:ind w:right="-120" w:rightChars="-57"/>
              <w:jc w:val="center"/>
              <w:rPr>
                <w:rFonts w:ascii="宋体" w:hAnsi="宋体"/>
                <w:b/>
                <w:sz w:val="24"/>
                <w:szCs w:val="24"/>
              </w:rPr>
            </w:pPr>
            <w:r>
              <w:rPr>
                <w:rFonts w:hint="eastAsia" w:ascii="宋体" w:hAnsi="宋体"/>
                <w:b/>
                <w:sz w:val="24"/>
                <w:szCs w:val="24"/>
              </w:rPr>
              <w:t>序号</w:t>
            </w:r>
          </w:p>
        </w:tc>
        <w:tc>
          <w:tcPr>
            <w:tcW w:w="4557" w:type="pct"/>
            <w:tcBorders>
              <w:top w:val="single" w:color="auto" w:sz="4" w:space="0"/>
              <w:left w:val="single" w:color="auto" w:sz="4" w:space="0"/>
              <w:bottom w:val="single" w:color="000000" w:sz="4" w:space="0"/>
              <w:right w:val="single" w:color="000000" w:sz="4" w:space="0"/>
            </w:tcBorders>
            <w:vAlign w:val="center"/>
          </w:tcPr>
          <w:p w14:paraId="71E20BD0">
            <w:pPr>
              <w:spacing w:line="360" w:lineRule="auto"/>
              <w:ind w:right="-120" w:rightChars="-57"/>
              <w:jc w:val="center"/>
              <w:rPr>
                <w:rFonts w:ascii="宋体" w:hAnsi="宋体"/>
                <w:b/>
                <w:sz w:val="24"/>
                <w:szCs w:val="24"/>
              </w:rPr>
            </w:pPr>
            <w:r>
              <w:rPr>
                <w:rFonts w:hint="eastAsia" w:ascii="宋体" w:hAnsi="宋体"/>
                <w:b/>
                <w:sz w:val="24"/>
                <w:szCs w:val="24"/>
              </w:rPr>
              <w:t>审查内容</w:t>
            </w:r>
          </w:p>
        </w:tc>
      </w:tr>
      <w:tr w14:paraId="66239669">
        <w:tblPrEx>
          <w:tblCellMar>
            <w:top w:w="0" w:type="dxa"/>
            <w:left w:w="0" w:type="dxa"/>
            <w:bottom w:w="0" w:type="dxa"/>
            <w:right w:w="0" w:type="dxa"/>
          </w:tblCellMar>
        </w:tblPrEx>
        <w:trPr>
          <w:trHeight w:val="688" w:hRule="atLeast"/>
        </w:trPr>
        <w:tc>
          <w:tcPr>
            <w:tcW w:w="442" w:type="pct"/>
            <w:tcBorders>
              <w:top w:val="single" w:color="auto" w:sz="4" w:space="0"/>
              <w:left w:val="single" w:color="auto" w:sz="4" w:space="0"/>
              <w:bottom w:val="single" w:color="000000" w:sz="4" w:space="0"/>
              <w:right w:val="single" w:color="auto" w:sz="4" w:space="0"/>
            </w:tcBorders>
            <w:vAlign w:val="center"/>
          </w:tcPr>
          <w:p w14:paraId="052721ED">
            <w:pPr>
              <w:pStyle w:val="193"/>
              <w:widowControl w:val="0"/>
              <w:numPr>
                <w:ilvl w:val="0"/>
                <w:numId w:val="4"/>
              </w:numPr>
              <w:pBdr>
                <w:bottom w:val="none" w:color="auto" w:sz="0" w:space="0"/>
                <w:right w:val="none" w:color="auto" w:sz="0" w:space="0"/>
              </w:pBdr>
              <w:spacing w:before="0" w:beforeAutospacing="0" w:after="0" w:afterAutospacing="0" w:line="360" w:lineRule="auto"/>
              <w:rPr>
                <w:kern w:val="2"/>
                <w:sz w:val="24"/>
                <w:szCs w:val="24"/>
              </w:rPr>
            </w:pPr>
          </w:p>
        </w:tc>
        <w:tc>
          <w:tcPr>
            <w:tcW w:w="4557" w:type="pct"/>
            <w:tcBorders>
              <w:top w:val="single" w:color="auto" w:sz="4" w:space="0"/>
              <w:left w:val="single" w:color="auto" w:sz="4" w:space="0"/>
              <w:bottom w:val="single" w:color="000000" w:sz="4" w:space="0"/>
              <w:right w:val="single" w:color="000000" w:sz="4" w:space="0"/>
            </w:tcBorders>
            <w:vAlign w:val="center"/>
          </w:tcPr>
          <w:p w14:paraId="320FB500">
            <w:pPr>
              <w:pStyle w:val="193"/>
              <w:widowControl w:val="0"/>
              <w:pBdr>
                <w:bottom w:val="none" w:color="auto" w:sz="0" w:space="0"/>
                <w:right w:val="none" w:color="auto" w:sz="0" w:space="0"/>
              </w:pBdr>
              <w:spacing w:before="0" w:beforeAutospacing="0" w:after="0" w:afterAutospacing="0" w:line="360" w:lineRule="auto"/>
              <w:jc w:val="left"/>
              <w:rPr>
                <w:kern w:val="2"/>
                <w:sz w:val="24"/>
                <w:szCs w:val="24"/>
              </w:rPr>
            </w:pPr>
            <w:r>
              <w:rPr>
                <w:rFonts w:hint="eastAsia" w:cs="宋体"/>
                <w:color w:val="000000"/>
                <w:sz w:val="24"/>
                <w:szCs w:val="24"/>
              </w:rPr>
              <w:t>符合</w:t>
            </w:r>
            <w:r>
              <w:rPr>
                <w:rFonts w:hint="eastAsia" w:cs="宋体"/>
                <w:color w:val="000000"/>
                <w:sz w:val="24"/>
                <w:szCs w:val="24"/>
                <w:lang w:eastAsia="zh-CN"/>
              </w:rPr>
              <w:t>遴选文件</w:t>
            </w:r>
            <w:r>
              <w:rPr>
                <w:rFonts w:hint="eastAsia" w:cs="宋体"/>
                <w:b/>
                <w:color w:val="000000"/>
                <w:sz w:val="24"/>
                <w:szCs w:val="24"/>
              </w:rPr>
              <w:t>“第一章  采购邀请/二、</w:t>
            </w:r>
            <w:r>
              <w:rPr>
                <w:rFonts w:hint="eastAsia" w:cs="宋体"/>
                <w:b/>
                <w:color w:val="000000"/>
                <w:sz w:val="24"/>
                <w:szCs w:val="24"/>
                <w:lang w:eastAsia="zh-CN"/>
              </w:rPr>
              <w:t>响应供应商</w:t>
            </w:r>
            <w:r>
              <w:rPr>
                <w:rFonts w:hint="eastAsia" w:cs="宋体"/>
                <w:b/>
                <w:color w:val="000000"/>
                <w:sz w:val="24"/>
                <w:szCs w:val="24"/>
              </w:rPr>
              <w:t>的资格要求”</w:t>
            </w:r>
            <w:r>
              <w:rPr>
                <w:rFonts w:hint="eastAsia" w:cs="宋体"/>
                <w:color w:val="000000"/>
                <w:sz w:val="24"/>
                <w:szCs w:val="24"/>
              </w:rPr>
              <w:t>中规定的资格要求，且资料齐全。</w:t>
            </w:r>
          </w:p>
        </w:tc>
      </w:tr>
      <w:tr w14:paraId="0FBE3E2A">
        <w:tblPrEx>
          <w:tblCellMar>
            <w:top w:w="0" w:type="dxa"/>
            <w:left w:w="0" w:type="dxa"/>
            <w:bottom w:w="0" w:type="dxa"/>
            <w:right w:w="0" w:type="dxa"/>
          </w:tblCellMar>
        </w:tblPrEx>
        <w:trPr>
          <w:trHeight w:val="431" w:hRule="atLeast"/>
        </w:trPr>
        <w:tc>
          <w:tcPr>
            <w:tcW w:w="442" w:type="pct"/>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14:paraId="495605B6">
            <w:pPr>
              <w:numPr>
                <w:ilvl w:val="0"/>
                <w:numId w:val="4"/>
              </w:numPr>
              <w:spacing w:line="360" w:lineRule="auto"/>
              <w:jc w:val="center"/>
              <w:rPr>
                <w:rFonts w:ascii="宋体" w:hAnsi="宋体"/>
                <w:sz w:val="24"/>
                <w:szCs w:val="24"/>
              </w:rPr>
            </w:pPr>
          </w:p>
        </w:tc>
        <w:tc>
          <w:tcPr>
            <w:tcW w:w="4557" w:type="pct"/>
            <w:tcBorders>
              <w:top w:val="single" w:color="auto" w:sz="4" w:space="0"/>
              <w:left w:val="single" w:color="auto" w:sz="4" w:space="0"/>
              <w:bottom w:val="single" w:color="auto" w:sz="4" w:space="0"/>
              <w:right w:val="single" w:color="000000" w:sz="4" w:space="0"/>
            </w:tcBorders>
            <w:vAlign w:val="center"/>
          </w:tcPr>
          <w:p w14:paraId="3008999F">
            <w:pPr>
              <w:pStyle w:val="193"/>
              <w:widowControl w:val="0"/>
              <w:pBdr>
                <w:bottom w:val="none" w:color="auto" w:sz="0" w:space="0"/>
                <w:right w:val="none" w:color="auto" w:sz="0" w:space="0"/>
              </w:pBdr>
              <w:spacing w:before="0" w:beforeAutospacing="0" w:after="0" w:afterAutospacing="0" w:line="360" w:lineRule="auto"/>
              <w:jc w:val="left"/>
              <w:rPr>
                <w:rFonts w:cs="宋体"/>
                <w:color w:val="000000"/>
                <w:sz w:val="24"/>
                <w:szCs w:val="24"/>
              </w:rPr>
            </w:pPr>
            <w:r>
              <w:rPr>
                <w:rFonts w:hint="eastAsia" w:cs="宋体"/>
                <w:color w:val="000000"/>
                <w:sz w:val="24"/>
                <w:szCs w:val="24"/>
                <w:lang w:eastAsia="zh-CN"/>
              </w:rPr>
              <w:t>响应</w:t>
            </w:r>
            <w:r>
              <w:rPr>
                <w:rFonts w:hint="eastAsia" w:cs="宋体"/>
                <w:color w:val="000000"/>
                <w:sz w:val="24"/>
                <w:szCs w:val="24"/>
              </w:rPr>
              <w:t>书和</w:t>
            </w:r>
            <w:r>
              <w:rPr>
                <w:rFonts w:hint="eastAsia" w:cs="宋体"/>
                <w:color w:val="000000"/>
                <w:sz w:val="24"/>
                <w:szCs w:val="24"/>
                <w:lang w:eastAsia="zh-CN"/>
              </w:rPr>
              <w:t>响应供应商</w:t>
            </w:r>
            <w:r>
              <w:rPr>
                <w:rFonts w:hint="eastAsia" w:cs="宋体"/>
                <w:color w:val="000000"/>
                <w:sz w:val="24"/>
                <w:szCs w:val="24"/>
              </w:rPr>
              <w:t>资格声明函符合</w:t>
            </w:r>
            <w:r>
              <w:rPr>
                <w:rFonts w:hint="eastAsia" w:cs="宋体"/>
                <w:color w:val="000000"/>
                <w:sz w:val="24"/>
                <w:szCs w:val="24"/>
                <w:lang w:eastAsia="zh-CN"/>
              </w:rPr>
              <w:t>遴选文件</w:t>
            </w:r>
            <w:r>
              <w:rPr>
                <w:rFonts w:hint="eastAsia" w:cs="宋体"/>
                <w:color w:val="000000"/>
                <w:sz w:val="24"/>
                <w:szCs w:val="24"/>
              </w:rPr>
              <w:t>要求。</w:t>
            </w:r>
          </w:p>
        </w:tc>
      </w:tr>
      <w:tr w14:paraId="7FBA415A">
        <w:tblPrEx>
          <w:tblCellMar>
            <w:top w:w="0" w:type="dxa"/>
            <w:left w:w="0" w:type="dxa"/>
            <w:bottom w:w="0" w:type="dxa"/>
            <w:right w:w="0" w:type="dxa"/>
          </w:tblCellMar>
        </w:tblPrEx>
        <w:trPr>
          <w:trHeight w:val="367" w:hRule="atLeast"/>
        </w:trPr>
        <w:tc>
          <w:tcPr>
            <w:tcW w:w="442" w:type="pct"/>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14:paraId="13390EA4">
            <w:pPr>
              <w:numPr>
                <w:ilvl w:val="0"/>
                <w:numId w:val="4"/>
              </w:numPr>
              <w:spacing w:line="360" w:lineRule="auto"/>
              <w:jc w:val="center"/>
              <w:rPr>
                <w:rFonts w:ascii="宋体" w:hAnsi="宋体"/>
                <w:sz w:val="24"/>
                <w:szCs w:val="24"/>
              </w:rPr>
            </w:pPr>
          </w:p>
        </w:tc>
        <w:tc>
          <w:tcPr>
            <w:tcW w:w="4557" w:type="pct"/>
            <w:tcBorders>
              <w:top w:val="single" w:color="auto" w:sz="4" w:space="0"/>
              <w:left w:val="single" w:color="auto" w:sz="4" w:space="0"/>
              <w:bottom w:val="single" w:color="auto" w:sz="4" w:space="0"/>
              <w:right w:val="single" w:color="000000" w:sz="4" w:space="0"/>
            </w:tcBorders>
            <w:vAlign w:val="center"/>
          </w:tcPr>
          <w:p w14:paraId="0C0EB2BB">
            <w:pPr>
              <w:spacing w:line="360" w:lineRule="auto"/>
              <w:jc w:val="left"/>
              <w:rPr>
                <w:rFonts w:hint="eastAsia" w:ascii="宋体" w:hAnsi="宋体" w:eastAsia="宋体" w:cs="宋体"/>
                <w:bCs/>
                <w:kern w:val="0"/>
                <w:sz w:val="24"/>
                <w:szCs w:val="24"/>
                <w:lang w:eastAsia="zh-CN"/>
              </w:rPr>
            </w:pPr>
            <w:r>
              <w:rPr>
                <w:rFonts w:hint="eastAsia" w:ascii="宋体" w:hAnsi="宋体" w:cs="宋体"/>
                <w:bCs/>
                <w:kern w:val="0"/>
                <w:sz w:val="24"/>
                <w:szCs w:val="24"/>
              </w:rPr>
              <w:t>满足</w:t>
            </w:r>
            <w:r>
              <w:rPr>
                <w:rFonts w:hint="eastAsia" w:ascii="宋体" w:hAnsi="宋体" w:cs="宋体"/>
                <w:bCs/>
                <w:kern w:val="0"/>
                <w:sz w:val="24"/>
                <w:szCs w:val="24"/>
                <w:lang w:eastAsia="zh-CN"/>
              </w:rPr>
              <w:t>遴选文件</w:t>
            </w:r>
            <w:r>
              <w:rPr>
                <w:rFonts w:hint="eastAsia" w:ascii="宋体" w:hAnsi="宋体" w:cs="宋体"/>
                <w:bCs/>
                <w:kern w:val="0"/>
                <w:sz w:val="24"/>
                <w:szCs w:val="24"/>
              </w:rPr>
              <w:t>提出的</w:t>
            </w:r>
            <w:r>
              <w:rPr>
                <w:rFonts w:hint="eastAsia" w:ascii="宋体" w:hAnsi="宋体" w:cs="宋体"/>
                <w:bCs/>
                <w:color w:val="auto"/>
                <w:kern w:val="0"/>
                <w:sz w:val="24"/>
                <w:szCs w:val="24"/>
                <w:lang w:eastAsia="zh-CN"/>
              </w:rPr>
              <w:t>工期</w:t>
            </w:r>
          </w:p>
        </w:tc>
      </w:tr>
      <w:tr w14:paraId="14F1C532">
        <w:tblPrEx>
          <w:tblCellMar>
            <w:top w:w="0" w:type="dxa"/>
            <w:left w:w="0" w:type="dxa"/>
            <w:bottom w:w="0" w:type="dxa"/>
            <w:right w:w="0" w:type="dxa"/>
          </w:tblCellMar>
        </w:tblPrEx>
        <w:trPr>
          <w:trHeight w:val="316" w:hRule="atLeast"/>
        </w:trPr>
        <w:tc>
          <w:tcPr>
            <w:tcW w:w="442" w:type="pct"/>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14:paraId="2580ADE5">
            <w:pPr>
              <w:numPr>
                <w:ilvl w:val="0"/>
                <w:numId w:val="4"/>
              </w:numPr>
              <w:spacing w:line="360" w:lineRule="auto"/>
              <w:jc w:val="center"/>
              <w:rPr>
                <w:rFonts w:ascii="宋体" w:hAnsi="宋体"/>
                <w:sz w:val="24"/>
                <w:szCs w:val="24"/>
              </w:rPr>
            </w:pPr>
          </w:p>
        </w:tc>
        <w:tc>
          <w:tcPr>
            <w:tcW w:w="4557" w:type="pct"/>
            <w:tcBorders>
              <w:top w:val="single" w:color="auto" w:sz="4" w:space="0"/>
              <w:left w:val="single" w:color="auto" w:sz="4" w:space="0"/>
              <w:bottom w:val="single" w:color="auto" w:sz="4" w:space="0"/>
              <w:right w:val="single" w:color="000000" w:sz="4" w:space="0"/>
            </w:tcBorders>
            <w:vAlign w:val="center"/>
          </w:tcPr>
          <w:p w14:paraId="7B82155D">
            <w:pPr>
              <w:spacing w:line="360" w:lineRule="auto"/>
              <w:jc w:val="left"/>
              <w:rPr>
                <w:rFonts w:ascii="宋体" w:hAnsi="宋体" w:cs="宋体"/>
                <w:sz w:val="24"/>
                <w:szCs w:val="24"/>
              </w:rPr>
            </w:pPr>
            <w:r>
              <w:rPr>
                <w:rFonts w:hint="eastAsia" w:ascii="宋体" w:hAnsi="宋体" w:cs="宋体"/>
                <w:sz w:val="24"/>
                <w:szCs w:val="24"/>
              </w:rPr>
              <w:t>符合</w:t>
            </w:r>
            <w:r>
              <w:rPr>
                <w:rFonts w:hint="eastAsia" w:ascii="宋体" w:hAnsi="宋体" w:cs="宋体"/>
                <w:sz w:val="24"/>
                <w:szCs w:val="24"/>
                <w:lang w:eastAsia="zh-CN"/>
              </w:rPr>
              <w:t>响应</w:t>
            </w:r>
            <w:r>
              <w:rPr>
                <w:rFonts w:hint="eastAsia" w:ascii="宋体" w:hAnsi="宋体" w:cs="宋体"/>
                <w:sz w:val="24"/>
                <w:szCs w:val="24"/>
              </w:rPr>
              <w:t>有效期</w:t>
            </w:r>
          </w:p>
        </w:tc>
      </w:tr>
      <w:tr w14:paraId="424920BD">
        <w:tblPrEx>
          <w:tblCellMar>
            <w:top w:w="0" w:type="dxa"/>
            <w:left w:w="0" w:type="dxa"/>
            <w:bottom w:w="0" w:type="dxa"/>
            <w:right w:w="0" w:type="dxa"/>
          </w:tblCellMar>
        </w:tblPrEx>
        <w:trPr>
          <w:trHeight w:val="459" w:hRule="atLeast"/>
        </w:trPr>
        <w:tc>
          <w:tcPr>
            <w:tcW w:w="442" w:type="pct"/>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14:paraId="365EB8D1">
            <w:pPr>
              <w:numPr>
                <w:ilvl w:val="0"/>
                <w:numId w:val="4"/>
              </w:numPr>
              <w:spacing w:line="360" w:lineRule="auto"/>
              <w:jc w:val="center"/>
              <w:rPr>
                <w:rFonts w:ascii="宋体" w:hAnsi="宋体"/>
                <w:sz w:val="24"/>
                <w:szCs w:val="24"/>
              </w:rPr>
            </w:pPr>
          </w:p>
        </w:tc>
        <w:tc>
          <w:tcPr>
            <w:tcW w:w="4557" w:type="pct"/>
            <w:tcBorders>
              <w:top w:val="single" w:color="auto" w:sz="4" w:space="0"/>
              <w:left w:val="single" w:color="auto" w:sz="4" w:space="0"/>
              <w:bottom w:val="single" w:color="auto" w:sz="4" w:space="0"/>
              <w:right w:val="single" w:color="000000" w:sz="4" w:space="0"/>
            </w:tcBorders>
            <w:vAlign w:val="center"/>
          </w:tcPr>
          <w:p w14:paraId="1896F54A">
            <w:pPr>
              <w:spacing w:line="360" w:lineRule="auto"/>
              <w:jc w:val="left"/>
              <w:rPr>
                <w:rFonts w:ascii="宋体" w:hAnsi="宋体" w:cs="宋体"/>
                <w:sz w:val="24"/>
                <w:szCs w:val="24"/>
              </w:rPr>
            </w:pPr>
            <w:r>
              <w:rPr>
                <w:rFonts w:hint="eastAsia" w:ascii="宋体" w:hAnsi="宋体" w:cs="宋体"/>
                <w:sz w:val="24"/>
                <w:szCs w:val="24"/>
              </w:rPr>
              <w:t>具备有效的法定代表人证明书/法人授权委托书</w:t>
            </w:r>
          </w:p>
        </w:tc>
      </w:tr>
      <w:tr w14:paraId="0AF280DF">
        <w:tblPrEx>
          <w:tblCellMar>
            <w:top w:w="0" w:type="dxa"/>
            <w:left w:w="0" w:type="dxa"/>
            <w:bottom w:w="0" w:type="dxa"/>
            <w:right w:w="0" w:type="dxa"/>
          </w:tblCellMar>
        </w:tblPrEx>
        <w:trPr>
          <w:trHeight w:val="381" w:hRule="atLeast"/>
        </w:trPr>
        <w:tc>
          <w:tcPr>
            <w:tcW w:w="442" w:type="pct"/>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14:paraId="3E87F4FD">
            <w:pPr>
              <w:numPr>
                <w:ilvl w:val="0"/>
                <w:numId w:val="4"/>
              </w:numPr>
              <w:spacing w:line="360" w:lineRule="auto"/>
              <w:jc w:val="center"/>
              <w:rPr>
                <w:rFonts w:ascii="宋体" w:hAnsi="宋体"/>
                <w:sz w:val="24"/>
                <w:szCs w:val="24"/>
              </w:rPr>
            </w:pPr>
          </w:p>
        </w:tc>
        <w:tc>
          <w:tcPr>
            <w:tcW w:w="4557" w:type="pct"/>
            <w:tcBorders>
              <w:top w:val="single" w:color="auto" w:sz="4" w:space="0"/>
              <w:left w:val="single" w:color="auto" w:sz="4" w:space="0"/>
              <w:bottom w:val="single" w:color="auto" w:sz="4" w:space="0"/>
              <w:right w:val="single" w:color="000000" w:sz="4" w:space="0"/>
            </w:tcBorders>
            <w:vAlign w:val="center"/>
          </w:tcPr>
          <w:p w14:paraId="052AB873">
            <w:pPr>
              <w:spacing w:line="360" w:lineRule="auto"/>
              <w:jc w:val="left"/>
              <w:rPr>
                <w:rFonts w:ascii="宋体" w:hAnsi="宋体" w:cs="宋体"/>
                <w:sz w:val="24"/>
                <w:szCs w:val="24"/>
              </w:rPr>
            </w:pPr>
            <w:r>
              <w:rPr>
                <w:rFonts w:hint="eastAsia" w:ascii="宋体" w:hAnsi="宋体" w:cs="宋体"/>
                <w:sz w:val="24"/>
                <w:szCs w:val="24"/>
                <w:lang w:eastAsia="zh-CN"/>
              </w:rPr>
              <w:t>响应文件</w:t>
            </w:r>
            <w:r>
              <w:rPr>
                <w:rFonts w:hint="eastAsia" w:ascii="宋体" w:hAnsi="宋体" w:cs="宋体"/>
                <w:sz w:val="24"/>
                <w:szCs w:val="24"/>
              </w:rPr>
              <w:t>盖章、签署符合要求</w:t>
            </w:r>
          </w:p>
        </w:tc>
      </w:tr>
      <w:tr w14:paraId="570215B3">
        <w:tblPrEx>
          <w:tblCellMar>
            <w:top w:w="0" w:type="dxa"/>
            <w:left w:w="0" w:type="dxa"/>
            <w:bottom w:w="0" w:type="dxa"/>
            <w:right w:w="0" w:type="dxa"/>
          </w:tblCellMar>
        </w:tblPrEx>
        <w:trPr>
          <w:trHeight w:val="459" w:hRule="atLeast"/>
        </w:trPr>
        <w:tc>
          <w:tcPr>
            <w:tcW w:w="442" w:type="pct"/>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14:paraId="72370CEA">
            <w:pPr>
              <w:numPr>
                <w:ilvl w:val="0"/>
                <w:numId w:val="4"/>
              </w:numPr>
              <w:spacing w:line="360" w:lineRule="auto"/>
              <w:jc w:val="center"/>
              <w:rPr>
                <w:rFonts w:ascii="宋体" w:hAnsi="宋体"/>
                <w:sz w:val="24"/>
                <w:szCs w:val="24"/>
              </w:rPr>
            </w:pPr>
          </w:p>
        </w:tc>
        <w:tc>
          <w:tcPr>
            <w:tcW w:w="4557" w:type="pct"/>
            <w:tcBorders>
              <w:top w:val="single" w:color="auto" w:sz="4" w:space="0"/>
              <w:left w:val="single" w:color="auto" w:sz="4" w:space="0"/>
              <w:bottom w:val="single" w:color="auto" w:sz="4" w:space="0"/>
              <w:right w:val="single" w:color="000000" w:sz="4" w:space="0"/>
            </w:tcBorders>
            <w:vAlign w:val="center"/>
          </w:tcPr>
          <w:p w14:paraId="41854857">
            <w:pPr>
              <w:spacing w:line="360" w:lineRule="auto"/>
              <w:jc w:val="left"/>
              <w:rPr>
                <w:rFonts w:ascii="宋体" w:hAnsi="宋体" w:cs="宋体"/>
                <w:sz w:val="24"/>
                <w:szCs w:val="24"/>
              </w:rPr>
            </w:pPr>
            <w:r>
              <w:rPr>
                <w:rFonts w:hint="eastAsia"/>
                <w:sz w:val="24"/>
                <w:szCs w:val="24"/>
                <w:lang w:eastAsia="zh-CN"/>
              </w:rPr>
              <w:t>响应报价</w:t>
            </w:r>
            <w:r>
              <w:rPr>
                <w:rFonts w:hint="eastAsia"/>
                <w:sz w:val="24"/>
                <w:szCs w:val="24"/>
              </w:rPr>
              <w:t>固定唯一，且</w:t>
            </w:r>
            <w:r>
              <w:rPr>
                <w:rFonts w:hint="eastAsia"/>
                <w:sz w:val="24"/>
                <w:szCs w:val="24"/>
                <w:lang w:eastAsia="zh-CN"/>
              </w:rPr>
              <w:t>响应报价</w:t>
            </w:r>
            <w:r>
              <w:rPr>
                <w:rFonts w:hint="eastAsia"/>
                <w:sz w:val="24"/>
                <w:szCs w:val="24"/>
              </w:rPr>
              <w:t>没有超过最高限价/报价范围</w:t>
            </w:r>
          </w:p>
        </w:tc>
      </w:tr>
      <w:tr w14:paraId="24633B55">
        <w:tblPrEx>
          <w:tblCellMar>
            <w:top w:w="0" w:type="dxa"/>
            <w:left w:w="0" w:type="dxa"/>
            <w:bottom w:w="0" w:type="dxa"/>
            <w:right w:w="0" w:type="dxa"/>
          </w:tblCellMar>
        </w:tblPrEx>
        <w:trPr>
          <w:trHeight w:val="459" w:hRule="atLeast"/>
        </w:trPr>
        <w:tc>
          <w:tcPr>
            <w:tcW w:w="442" w:type="pct"/>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14:paraId="2DCAB87C">
            <w:pPr>
              <w:numPr>
                <w:ilvl w:val="0"/>
                <w:numId w:val="4"/>
              </w:numPr>
              <w:spacing w:line="360" w:lineRule="auto"/>
              <w:jc w:val="center"/>
              <w:rPr>
                <w:rFonts w:ascii="宋体" w:hAnsi="宋体"/>
                <w:sz w:val="24"/>
                <w:szCs w:val="24"/>
              </w:rPr>
            </w:pPr>
          </w:p>
        </w:tc>
        <w:tc>
          <w:tcPr>
            <w:tcW w:w="4557" w:type="pct"/>
            <w:tcBorders>
              <w:top w:val="single" w:color="auto" w:sz="4" w:space="0"/>
              <w:left w:val="single" w:color="auto" w:sz="4" w:space="0"/>
              <w:bottom w:val="single" w:color="auto" w:sz="4" w:space="0"/>
              <w:right w:val="single" w:color="000000" w:sz="4" w:space="0"/>
            </w:tcBorders>
            <w:vAlign w:val="center"/>
          </w:tcPr>
          <w:p w14:paraId="2D55A343">
            <w:pPr>
              <w:spacing w:line="360" w:lineRule="auto"/>
              <w:jc w:val="left"/>
              <w:rPr>
                <w:color w:val="000000"/>
                <w:sz w:val="24"/>
                <w:szCs w:val="24"/>
              </w:rPr>
            </w:pPr>
            <w:r>
              <w:rPr>
                <w:rFonts w:hint="eastAsia" w:ascii="宋体" w:hAnsi="宋体"/>
                <w:sz w:val="24"/>
                <w:lang w:eastAsia="zh-CN"/>
              </w:rPr>
              <w:t>响应文件</w:t>
            </w:r>
            <w:r>
              <w:rPr>
                <w:rFonts w:hint="eastAsia" w:ascii="宋体" w:hAnsi="宋体"/>
                <w:sz w:val="24"/>
              </w:rPr>
              <w:t>满足采购需求书“★”条款要求</w:t>
            </w:r>
          </w:p>
        </w:tc>
      </w:tr>
      <w:tr w14:paraId="5DFD5814">
        <w:tblPrEx>
          <w:tblCellMar>
            <w:top w:w="0" w:type="dxa"/>
            <w:left w:w="0" w:type="dxa"/>
            <w:bottom w:w="0" w:type="dxa"/>
            <w:right w:w="0" w:type="dxa"/>
          </w:tblCellMar>
        </w:tblPrEx>
        <w:trPr>
          <w:trHeight w:val="408" w:hRule="atLeast"/>
        </w:trPr>
        <w:tc>
          <w:tcPr>
            <w:tcW w:w="442" w:type="pct"/>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14:paraId="7CC632B1">
            <w:pPr>
              <w:numPr>
                <w:ilvl w:val="0"/>
                <w:numId w:val="4"/>
              </w:numPr>
              <w:spacing w:line="360" w:lineRule="auto"/>
              <w:jc w:val="center"/>
              <w:rPr>
                <w:rFonts w:ascii="宋体" w:hAnsi="宋体"/>
                <w:sz w:val="24"/>
                <w:szCs w:val="24"/>
              </w:rPr>
            </w:pPr>
          </w:p>
        </w:tc>
        <w:tc>
          <w:tcPr>
            <w:tcW w:w="4557" w:type="pct"/>
            <w:tcBorders>
              <w:top w:val="single" w:color="auto" w:sz="4" w:space="0"/>
              <w:left w:val="single" w:color="auto" w:sz="4" w:space="0"/>
              <w:bottom w:val="single" w:color="auto" w:sz="4" w:space="0"/>
              <w:right w:val="single" w:color="000000" w:sz="4" w:space="0"/>
            </w:tcBorders>
            <w:vAlign w:val="center"/>
          </w:tcPr>
          <w:p w14:paraId="68A95D72">
            <w:pPr>
              <w:spacing w:line="360" w:lineRule="auto"/>
              <w:jc w:val="left"/>
              <w:rPr>
                <w:rFonts w:ascii="宋体" w:hAnsi="宋体" w:cs="宋体"/>
                <w:sz w:val="24"/>
                <w:szCs w:val="24"/>
              </w:rPr>
            </w:pPr>
            <w:r>
              <w:rPr>
                <w:rFonts w:hint="eastAsia" w:ascii="宋体" w:hAnsi="宋体" w:cs="宋体"/>
                <w:sz w:val="24"/>
                <w:szCs w:val="24"/>
              </w:rPr>
              <w:t>其他无效</w:t>
            </w:r>
            <w:r>
              <w:rPr>
                <w:rFonts w:hint="eastAsia" w:ascii="宋体" w:hAnsi="宋体" w:cs="宋体"/>
                <w:sz w:val="24"/>
                <w:szCs w:val="24"/>
                <w:lang w:val="en-US" w:eastAsia="zh-CN"/>
              </w:rPr>
              <w:t>响应</w:t>
            </w:r>
            <w:r>
              <w:rPr>
                <w:rFonts w:hint="eastAsia" w:ascii="宋体" w:hAnsi="宋体" w:cs="宋体"/>
                <w:sz w:val="24"/>
                <w:szCs w:val="24"/>
              </w:rPr>
              <w:t>情形：（1）响应文件提供虚假材料；（2）评审期间，供应商没有按评审小组的要求提交有效的澄清、说明、补正，或提交的澄清、说明、补正改变了采购、响应文件的实质性内容；（3）供应商对采购人、采购代理机构、评审小组及其工作人员施加影响，有碍公平、公正；（4）</w:t>
            </w:r>
            <w:r>
              <w:rPr>
                <w:rFonts w:hint="eastAsia" w:ascii="宋体" w:hAnsi="宋体" w:cs="宋体"/>
                <w:sz w:val="24"/>
                <w:szCs w:val="24"/>
                <w:lang w:val="en-US" w:eastAsia="zh-CN"/>
              </w:rPr>
              <w:t>遴选</w:t>
            </w:r>
            <w:r>
              <w:rPr>
                <w:rFonts w:hint="eastAsia" w:ascii="宋体" w:hAnsi="宋体" w:cs="宋体"/>
                <w:sz w:val="24"/>
                <w:szCs w:val="24"/>
              </w:rPr>
              <w:t>文件中规定的其它无效</w:t>
            </w:r>
            <w:r>
              <w:rPr>
                <w:rFonts w:hint="eastAsia" w:ascii="宋体" w:hAnsi="宋体" w:cs="宋体"/>
                <w:sz w:val="24"/>
                <w:szCs w:val="24"/>
                <w:lang w:val="en-US" w:eastAsia="zh-CN"/>
              </w:rPr>
              <w:t>响应</w:t>
            </w:r>
            <w:r>
              <w:rPr>
                <w:rFonts w:hint="eastAsia" w:ascii="宋体" w:hAnsi="宋体" w:cs="宋体"/>
                <w:sz w:val="24"/>
                <w:szCs w:val="24"/>
              </w:rPr>
              <w:t>情形；（5）法律法规规定属于响应无效的其他情形。</w:t>
            </w:r>
          </w:p>
        </w:tc>
      </w:tr>
    </w:tbl>
    <w:p w14:paraId="74E10BDA">
      <w:pPr>
        <w:spacing w:line="360" w:lineRule="auto"/>
        <w:outlineLvl w:val="1"/>
        <w:rPr>
          <w:b/>
        </w:rPr>
      </w:pPr>
      <w:r>
        <w:br w:type="page"/>
      </w:r>
      <w:bookmarkStart w:id="698" w:name="_Toc498265698"/>
      <w:bookmarkStart w:id="699" w:name="_Toc82445270"/>
      <w:bookmarkStart w:id="700" w:name="_Toc439679280"/>
      <w:bookmarkStart w:id="701" w:name="_Toc69828237"/>
      <w:bookmarkStart w:id="702" w:name="_Toc498079543"/>
      <w:bookmarkStart w:id="703" w:name="_Toc514163580"/>
      <w:bookmarkStart w:id="704" w:name="_Toc66020778"/>
      <w:bookmarkStart w:id="705" w:name="_Toc489892979"/>
      <w:bookmarkStart w:id="706" w:name="_Toc504062544"/>
      <w:bookmarkStart w:id="707" w:name="_Toc91"/>
      <w:bookmarkStart w:id="708" w:name="_Toc503169265"/>
      <w:bookmarkStart w:id="709" w:name="_Toc422865433"/>
      <w:bookmarkStart w:id="710" w:name="_Toc414510792"/>
      <w:bookmarkStart w:id="711" w:name="_Toc438722142"/>
      <w:bookmarkStart w:id="712" w:name="_Toc24443"/>
      <w:bookmarkStart w:id="713" w:name="_Toc12998"/>
      <w:bookmarkStart w:id="714" w:name="_Toc496045548"/>
      <w:bookmarkStart w:id="715" w:name="_Toc498978653"/>
      <w:bookmarkStart w:id="716" w:name="_Toc488422463"/>
      <w:bookmarkStart w:id="717" w:name="_Toc438508609"/>
      <w:bookmarkStart w:id="718" w:name="_Toc504741276"/>
      <w:bookmarkStart w:id="719" w:name="_Toc490033964"/>
      <w:bookmarkStart w:id="720" w:name="_Toc496096042"/>
      <w:bookmarkStart w:id="721" w:name="_Toc487101026"/>
      <w:bookmarkStart w:id="722" w:name="_Toc11922014"/>
      <w:bookmarkStart w:id="723" w:name="_Toc71878610"/>
      <w:bookmarkStart w:id="724" w:name="_Toc438513746"/>
      <w:bookmarkStart w:id="725" w:name="_Toc515971212"/>
      <w:bookmarkStart w:id="726" w:name="_Toc78444622"/>
      <w:bookmarkStart w:id="727" w:name="_Toc24471643"/>
      <w:bookmarkStart w:id="728" w:name="_Toc80869751"/>
      <w:bookmarkStart w:id="729" w:name="_Toc90148935"/>
      <w:bookmarkStart w:id="730" w:name="_Toc418023345"/>
      <w:bookmarkStart w:id="731" w:name="_Toc55745683"/>
      <w:bookmarkStart w:id="732" w:name="_Toc51416539"/>
      <w:bookmarkStart w:id="733" w:name="_Toc77781878"/>
      <w:bookmarkStart w:id="734" w:name="_Toc482255091"/>
      <w:bookmarkStart w:id="735" w:name="_Toc496123836"/>
      <w:bookmarkStart w:id="736" w:name="_Toc447233595"/>
      <w:bookmarkStart w:id="737" w:name="_Toc82692203"/>
      <w:bookmarkStart w:id="738" w:name="_Toc477691932"/>
      <w:bookmarkStart w:id="739" w:name="_Toc468457009"/>
      <w:bookmarkStart w:id="740" w:name="_Toc30526"/>
      <w:bookmarkStart w:id="741" w:name="_Toc78274978"/>
      <w:bookmarkStart w:id="742" w:name="_Toc55671117"/>
      <w:bookmarkStart w:id="743" w:name="_Toc93997413"/>
      <w:bookmarkStart w:id="744" w:name="_Toc489974557"/>
      <w:bookmarkStart w:id="745" w:name="_Toc482365851"/>
      <w:bookmarkStart w:id="746" w:name="_Toc475804841"/>
      <w:bookmarkStart w:id="747" w:name="_Toc475805898"/>
      <w:bookmarkStart w:id="748" w:name="_Toc416208498"/>
      <w:bookmarkStart w:id="749" w:name="_Toc55911497"/>
      <w:bookmarkStart w:id="750" w:name="_Toc422162004"/>
      <w:bookmarkStart w:id="751" w:name="_Toc504122280"/>
      <w:bookmarkStart w:id="752" w:name="_Toc75028789"/>
      <w:bookmarkStart w:id="753" w:name="_Toc468450958"/>
      <w:bookmarkStart w:id="754" w:name="_Toc439513173"/>
      <w:bookmarkStart w:id="755" w:name="_Toc499278277"/>
      <w:bookmarkStart w:id="756" w:name="_Toc65680728"/>
      <w:bookmarkStart w:id="757" w:name="_Toc479343993"/>
      <w:bookmarkStart w:id="758" w:name="_Toc477807604"/>
      <w:bookmarkStart w:id="759" w:name="_Toc21827"/>
      <w:bookmarkStart w:id="760" w:name="_Toc51416862"/>
      <w:bookmarkStart w:id="761" w:name="_Toc513652328"/>
      <w:bookmarkStart w:id="762" w:name="_Toc91288861"/>
      <w:bookmarkStart w:id="763" w:name="_Toc27657"/>
      <w:bookmarkStart w:id="764" w:name="_Toc482195779"/>
      <w:bookmarkStart w:id="765" w:name="_Toc488321033"/>
      <w:bookmarkStart w:id="766" w:name="_Toc439513457"/>
      <w:bookmarkStart w:id="767" w:name="_Toc51778300"/>
      <w:bookmarkStart w:id="768" w:name="_Toc425347674"/>
      <w:r>
        <w:rPr>
          <w:rFonts w:hint="eastAsia" w:ascii="宋体" w:hAnsi="宋体" w:cs="Tahoma"/>
          <w:b/>
          <w:sz w:val="24"/>
        </w:rPr>
        <w:t>附表2 技术响应性评审表</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4CDBAFD8">
      <w:pPr>
        <w:spacing w:line="360" w:lineRule="auto"/>
        <w:rPr>
          <w:sz w:val="24"/>
          <w:szCs w:val="24"/>
        </w:rPr>
      </w:pPr>
      <w:r>
        <w:rPr>
          <w:rFonts w:hint="eastAsia" w:ascii="宋体" w:hAnsi="宋体"/>
          <w:sz w:val="24"/>
          <w:szCs w:val="24"/>
        </w:rPr>
        <w:t>项目名称：</w:t>
      </w:r>
      <w:r>
        <w:rPr>
          <w:rFonts w:hint="eastAsia" w:ascii="宋体" w:hAnsi="宋体" w:cs="Tahoma"/>
          <w:sz w:val="24"/>
          <w:lang w:eastAsia="zh-CN"/>
        </w:rPr>
        <w:t>广东省粤东技师学院海天数智化综合实训基地改造工程</w:t>
      </w:r>
    </w:p>
    <w:p w14:paraId="307B8B23">
      <w:pPr>
        <w:spacing w:line="360" w:lineRule="auto"/>
        <w:rPr>
          <w:rFonts w:ascii="宋体" w:hAnsi="宋体" w:cs="Tahoma"/>
          <w:sz w:val="24"/>
        </w:rPr>
      </w:pPr>
      <w:r>
        <w:rPr>
          <w:rFonts w:hint="eastAsia" w:ascii="宋体" w:hAnsi="宋体"/>
          <w:sz w:val="24"/>
          <w:szCs w:val="24"/>
        </w:rPr>
        <w:t>项目编号：</w:t>
      </w:r>
      <w:r>
        <w:rPr>
          <w:rFonts w:hint="eastAsia" w:ascii="宋体" w:cs="Tahoma"/>
          <w:bCs/>
          <w:sz w:val="24"/>
          <w:lang w:eastAsia="zh-CN"/>
        </w:rPr>
        <w:t>YL202411248</w:t>
      </w:r>
      <w:r>
        <w:rPr>
          <w:rFonts w:hint="eastAsia" w:ascii="宋体" w:hAnsi="宋体"/>
          <w:sz w:val="24"/>
        </w:rPr>
        <w:t xml:space="preserve"> </w:t>
      </w:r>
    </w:p>
    <w:tbl>
      <w:tblPr>
        <w:tblStyle w:val="50"/>
        <w:tblW w:w="5000" w:type="pct"/>
        <w:jc w:val="center"/>
        <w:tblLayout w:type="autofit"/>
        <w:tblCellMar>
          <w:top w:w="0" w:type="dxa"/>
          <w:left w:w="108" w:type="dxa"/>
          <w:bottom w:w="0" w:type="dxa"/>
          <w:right w:w="108" w:type="dxa"/>
        </w:tblCellMar>
      </w:tblPr>
      <w:tblGrid>
        <w:gridCol w:w="827"/>
        <w:gridCol w:w="1833"/>
        <w:gridCol w:w="851"/>
        <w:gridCol w:w="6451"/>
      </w:tblGrid>
      <w:tr w14:paraId="02A919C2">
        <w:tblPrEx>
          <w:tblCellMar>
            <w:top w:w="0" w:type="dxa"/>
            <w:left w:w="108" w:type="dxa"/>
            <w:bottom w:w="0" w:type="dxa"/>
            <w:right w:w="108" w:type="dxa"/>
          </w:tblCellMar>
        </w:tblPrEx>
        <w:trPr>
          <w:trHeight w:val="703" w:hRule="atLeast"/>
          <w:jc w:val="center"/>
        </w:trPr>
        <w:tc>
          <w:tcPr>
            <w:tcW w:w="415" w:type="pct"/>
            <w:tcBorders>
              <w:top w:val="single" w:color="auto" w:sz="8" w:space="0"/>
              <w:left w:val="single" w:color="auto" w:sz="8" w:space="0"/>
              <w:bottom w:val="single" w:color="auto" w:sz="6" w:space="0"/>
              <w:right w:val="single" w:color="auto" w:sz="4" w:space="0"/>
            </w:tcBorders>
            <w:vAlign w:val="center"/>
          </w:tcPr>
          <w:p w14:paraId="307F720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919" w:type="pct"/>
            <w:tcBorders>
              <w:top w:val="single" w:color="auto" w:sz="8" w:space="0"/>
              <w:left w:val="single" w:color="auto" w:sz="4" w:space="0"/>
              <w:bottom w:val="single" w:color="auto" w:sz="6" w:space="0"/>
              <w:right w:val="single" w:color="auto" w:sz="6" w:space="0"/>
            </w:tcBorders>
            <w:vAlign w:val="center"/>
          </w:tcPr>
          <w:p w14:paraId="5A3D9E4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评审分项</w:t>
            </w:r>
          </w:p>
        </w:tc>
        <w:tc>
          <w:tcPr>
            <w:tcW w:w="427" w:type="pct"/>
            <w:tcBorders>
              <w:top w:val="single" w:color="auto" w:sz="8" w:space="0"/>
              <w:left w:val="single" w:color="auto" w:sz="6" w:space="0"/>
              <w:bottom w:val="single" w:color="auto" w:sz="6" w:space="0"/>
              <w:right w:val="single" w:color="auto" w:sz="6" w:space="0"/>
            </w:tcBorders>
            <w:vAlign w:val="center"/>
          </w:tcPr>
          <w:p w14:paraId="355A2B4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分值</w:t>
            </w:r>
          </w:p>
        </w:tc>
        <w:tc>
          <w:tcPr>
            <w:tcW w:w="3237" w:type="pct"/>
            <w:tcBorders>
              <w:top w:val="single" w:color="auto" w:sz="8" w:space="0"/>
              <w:left w:val="single" w:color="auto" w:sz="6" w:space="0"/>
              <w:bottom w:val="single" w:color="auto" w:sz="6" w:space="0"/>
              <w:right w:val="single" w:color="auto" w:sz="6" w:space="0"/>
            </w:tcBorders>
            <w:vAlign w:val="center"/>
          </w:tcPr>
          <w:p w14:paraId="11FD595D">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评审标准</w:t>
            </w:r>
          </w:p>
        </w:tc>
      </w:tr>
      <w:tr w14:paraId="26362BD5">
        <w:tblPrEx>
          <w:tblCellMar>
            <w:top w:w="0" w:type="dxa"/>
            <w:left w:w="108" w:type="dxa"/>
            <w:bottom w:w="0" w:type="dxa"/>
            <w:right w:w="108" w:type="dxa"/>
          </w:tblCellMar>
        </w:tblPrEx>
        <w:trPr>
          <w:trHeight w:val="506" w:hRule="atLeast"/>
          <w:jc w:val="center"/>
        </w:trPr>
        <w:tc>
          <w:tcPr>
            <w:tcW w:w="415" w:type="pct"/>
            <w:tcBorders>
              <w:top w:val="single" w:color="auto" w:sz="6" w:space="0"/>
              <w:left w:val="single" w:color="auto" w:sz="8" w:space="0"/>
              <w:bottom w:val="single" w:color="auto" w:sz="6" w:space="0"/>
              <w:right w:val="single" w:color="auto" w:sz="6" w:space="0"/>
            </w:tcBorders>
            <w:vAlign w:val="center"/>
          </w:tcPr>
          <w:p w14:paraId="57A53DC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919" w:type="pct"/>
            <w:tcBorders>
              <w:top w:val="single" w:color="auto" w:sz="6" w:space="0"/>
              <w:left w:val="single" w:color="auto" w:sz="6" w:space="0"/>
              <w:bottom w:val="single" w:color="auto" w:sz="6" w:space="0"/>
              <w:right w:val="single" w:color="auto" w:sz="6" w:space="0"/>
            </w:tcBorders>
            <w:vAlign w:val="center"/>
          </w:tcPr>
          <w:p w14:paraId="195C7D26">
            <w:pPr>
              <w:keepNext w:val="0"/>
              <w:keepLines w:val="0"/>
              <w:pageBreakBefore w:val="0"/>
              <w:widowControl w:val="0"/>
              <w:kinsoku/>
              <w:wordWrap/>
              <w:overflowPunct/>
              <w:topLinePunct w:val="0"/>
              <w:autoSpaceDE/>
              <w:autoSpaceDN/>
              <w:bidi w:val="0"/>
              <w:adjustRightInd/>
              <w:spacing w:beforeAutospacing="0" w:afterAutospacing="0" w:line="360" w:lineRule="auto"/>
              <w:jc w:val="center"/>
              <w:textAlignment w:val="auto"/>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z w:val="24"/>
                <w:szCs w:val="24"/>
              </w:rPr>
              <w:t>施工方案</w:t>
            </w:r>
          </w:p>
        </w:tc>
        <w:tc>
          <w:tcPr>
            <w:tcW w:w="427" w:type="pct"/>
            <w:tcBorders>
              <w:top w:val="single" w:color="auto" w:sz="6" w:space="0"/>
              <w:left w:val="single" w:color="auto" w:sz="6" w:space="0"/>
              <w:bottom w:val="single" w:color="auto" w:sz="6" w:space="0"/>
              <w:right w:val="single" w:color="auto" w:sz="6" w:space="0"/>
            </w:tcBorders>
            <w:vAlign w:val="center"/>
          </w:tcPr>
          <w:p w14:paraId="0F11F442">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jc w:val="center"/>
              <w:textAlignment w:val="auto"/>
              <w:rPr>
                <w:rFonts w:hint="eastAsia" w:asciiTheme="minorEastAsia" w:hAnsiTheme="minorEastAsia" w:eastAsiaTheme="minorEastAsia" w:cstheme="minorEastAsia"/>
                <w:snapToGrid w:val="0"/>
                <w:color w:val="000000"/>
                <w:kern w:val="0"/>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分</w:t>
            </w:r>
          </w:p>
        </w:tc>
        <w:tc>
          <w:tcPr>
            <w:tcW w:w="3237" w:type="pct"/>
            <w:tcBorders>
              <w:top w:val="single" w:color="auto" w:sz="6" w:space="0"/>
              <w:left w:val="single" w:color="auto" w:sz="6" w:space="0"/>
              <w:bottom w:val="single" w:color="auto" w:sz="6" w:space="0"/>
              <w:right w:val="single" w:color="auto" w:sz="6" w:space="0"/>
            </w:tcBorders>
            <w:vAlign w:val="center"/>
          </w:tcPr>
          <w:p w14:paraId="5485C583">
            <w:pPr>
              <w:keepNext w:val="0"/>
              <w:keepLines w:val="0"/>
              <w:pageBreakBefore w:val="0"/>
              <w:widowControl w:val="0"/>
              <w:kinsoku/>
              <w:wordWrap/>
              <w:overflowPunct/>
              <w:topLinePunct w:val="0"/>
              <w:autoSpaceDE/>
              <w:autoSpaceDN/>
              <w:bidi w:val="0"/>
              <w:adjustRightInd/>
              <w:spacing w:beforeAutospacing="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根据响应供应商</w:t>
            </w:r>
            <w:r>
              <w:rPr>
                <w:rFonts w:hint="eastAsia" w:asciiTheme="minorEastAsia" w:hAnsiTheme="minorEastAsia" w:eastAsiaTheme="minorEastAsia" w:cstheme="minorEastAsia"/>
                <w:sz w:val="24"/>
                <w:szCs w:val="24"/>
                <w:lang w:val="en-US" w:eastAsia="zh-CN"/>
              </w:rPr>
              <w:t>提供的</w:t>
            </w:r>
            <w:r>
              <w:rPr>
                <w:rFonts w:hint="eastAsia" w:asciiTheme="minorEastAsia" w:hAnsiTheme="minorEastAsia" w:eastAsiaTheme="minorEastAsia" w:cstheme="minorEastAsia"/>
                <w:sz w:val="24"/>
                <w:szCs w:val="24"/>
              </w:rPr>
              <w:t>施工方案（包括但不限于各部分项工程的施工方法详细、施工安排详细、施工前的准备充分）的具体性、可行性、合理性的措施进行评审：</w:t>
            </w:r>
          </w:p>
          <w:p w14:paraId="519CA05D">
            <w:pPr>
              <w:keepNext w:val="0"/>
              <w:keepLines w:val="0"/>
              <w:pageBreakBefore w:val="0"/>
              <w:widowControl w:val="0"/>
              <w:kinsoku/>
              <w:wordWrap/>
              <w:overflowPunct/>
              <w:topLinePunct w:val="0"/>
              <w:autoSpaceDE/>
              <w:autoSpaceDN/>
              <w:bidi w:val="0"/>
              <w:adjustRightInd/>
              <w:spacing w:beforeAutospacing="0" w:afterAutospacing="0"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施工方案科学、系统、安全、经济，可操作性强，保障措施完全满足文件要求，且对关键技术、工艺把握准确，应用到位，得1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p>
          <w:p w14:paraId="7B6B5A1D">
            <w:pPr>
              <w:keepNext w:val="0"/>
              <w:keepLines w:val="0"/>
              <w:pageBreakBefore w:val="0"/>
              <w:widowControl w:val="0"/>
              <w:kinsoku/>
              <w:wordWrap/>
              <w:overflowPunct/>
              <w:topLinePunct w:val="0"/>
              <w:autoSpaceDE/>
              <w:autoSpaceDN/>
              <w:bidi w:val="0"/>
              <w:adjustRightInd/>
              <w:spacing w:beforeAutospacing="0" w:afterAutospacing="0"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施工方案基本科学、系统、安全、经济，可操作，保障措施基本满足文件要求，且对关键技术、工艺把握基本准确，应用基本到位，得</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p>
          <w:p w14:paraId="5A2A861A">
            <w:pPr>
              <w:keepNext w:val="0"/>
              <w:keepLines w:val="0"/>
              <w:pageBreakBefore w:val="0"/>
              <w:widowControl w:val="0"/>
              <w:kinsoku/>
              <w:wordWrap/>
              <w:overflowPunct/>
              <w:topLinePunct w:val="0"/>
              <w:autoSpaceDE/>
              <w:autoSpaceDN/>
              <w:bidi w:val="0"/>
              <w:adjustRightInd/>
              <w:spacing w:beforeAutospacing="0" w:afterAutospacing="0"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施工方案不科学、不系统、不安全、不经济，可操作性不强，保障措施</w:t>
            </w:r>
            <w:r>
              <w:rPr>
                <w:rFonts w:hint="eastAsia" w:asciiTheme="minorEastAsia" w:hAnsiTheme="minorEastAsia" w:eastAsiaTheme="minorEastAsia" w:cstheme="minorEastAsia"/>
                <w:sz w:val="24"/>
                <w:szCs w:val="24"/>
                <w:lang w:val="en-US" w:eastAsia="zh-CN"/>
              </w:rPr>
              <w:t>部分</w:t>
            </w:r>
            <w:r>
              <w:rPr>
                <w:rFonts w:hint="eastAsia" w:asciiTheme="minorEastAsia" w:hAnsiTheme="minorEastAsia" w:eastAsiaTheme="minorEastAsia" w:cstheme="minorEastAsia"/>
                <w:sz w:val="24"/>
                <w:szCs w:val="24"/>
              </w:rPr>
              <w:t>满足文件要求，对关键技术、工艺把握不准确，应用不到位，得</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p>
          <w:p w14:paraId="77A5DDED">
            <w:pPr>
              <w:keepNext w:val="0"/>
              <w:keepLines w:val="0"/>
              <w:pageBreakBefore w:val="0"/>
              <w:widowControl w:val="0"/>
              <w:kinsoku/>
              <w:wordWrap/>
              <w:overflowPunct/>
              <w:topLinePunct w:val="0"/>
              <w:autoSpaceDE/>
              <w:autoSpaceDN/>
              <w:bidi w:val="0"/>
              <w:adjustRightInd/>
              <w:spacing w:beforeAutospacing="0" w:afterAutospacing="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t>其他或无提供不得分</w:t>
            </w:r>
            <w:r>
              <w:rPr>
                <w:rFonts w:hint="eastAsia" w:asciiTheme="minorEastAsia" w:hAnsiTheme="minorEastAsia" w:eastAsiaTheme="minorEastAsia" w:cstheme="minorEastAsia"/>
                <w:sz w:val="24"/>
                <w:szCs w:val="24"/>
              </w:rPr>
              <w:t>。</w:t>
            </w:r>
          </w:p>
        </w:tc>
      </w:tr>
      <w:tr w14:paraId="3928F449">
        <w:tblPrEx>
          <w:tblCellMar>
            <w:top w:w="0" w:type="dxa"/>
            <w:left w:w="108" w:type="dxa"/>
            <w:bottom w:w="0" w:type="dxa"/>
            <w:right w:w="108" w:type="dxa"/>
          </w:tblCellMar>
        </w:tblPrEx>
        <w:trPr>
          <w:trHeight w:val="414" w:hRule="atLeast"/>
          <w:jc w:val="center"/>
        </w:trPr>
        <w:tc>
          <w:tcPr>
            <w:tcW w:w="415" w:type="pct"/>
            <w:tcBorders>
              <w:top w:val="single" w:color="auto" w:sz="6" w:space="0"/>
              <w:left w:val="single" w:color="auto" w:sz="8" w:space="0"/>
              <w:bottom w:val="single" w:color="auto" w:sz="6" w:space="0"/>
              <w:right w:val="single" w:color="auto" w:sz="6" w:space="0"/>
            </w:tcBorders>
            <w:vAlign w:val="center"/>
          </w:tcPr>
          <w:p w14:paraId="2C01E25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919" w:type="pct"/>
            <w:tcBorders>
              <w:top w:val="single" w:color="auto" w:sz="6" w:space="0"/>
              <w:left w:val="single" w:color="auto" w:sz="6" w:space="0"/>
              <w:bottom w:val="single" w:color="auto" w:sz="6" w:space="0"/>
              <w:right w:val="single" w:color="auto" w:sz="6" w:space="0"/>
            </w:tcBorders>
            <w:vAlign w:val="center"/>
          </w:tcPr>
          <w:p w14:paraId="37C6270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auto"/>
                <w:sz w:val="24"/>
                <w:szCs w:val="24"/>
              </w:rPr>
              <w:t>施工进度实施计划与质量、安全保证措施</w:t>
            </w:r>
          </w:p>
        </w:tc>
        <w:tc>
          <w:tcPr>
            <w:tcW w:w="427" w:type="pct"/>
            <w:tcBorders>
              <w:top w:val="single" w:color="auto" w:sz="6" w:space="0"/>
              <w:left w:val="single" w:color="auto" w:sz="6" w:space="0"/>
              <w:bottom w:val="single" w:color="auto" w:sz="6" w:space="0"/>
              <w:right w:val="single" w:color="auto" w:sz="6" w:space="0"/>
            </w:tcBorders>
            <w:vAlign w:val="center"/>
          </w:tcPr>
          <w:p w14:paraId="5E26364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napToGrid w:val="0"/>
                <w:color w:val="auto"/>
                <w:kern w:val="0"/>
                <w:sz w:val="24"/>
                <w:szCs w:val="24"/>
                <w:lang w:val="en-US" w:eastAsia="zh-CN"/>
              </w:rPr>
              <w:t>10分</w:t>
            </w:r>
          </w:p>
        </w:tc>
        <w:tc>
          <w:tcPr>
            <w:tcW w:w="3237" w:type="pct"/>
            <w:tcBorders>
              <w:top w:val="single" w:color="auto" w:sz="6" w:space="0"/>
              <w:left w:val="single" w:color="auto" w:sz="6" w:space="0"/>
              <w:bottom w:val="single" w:color="auto" w:sz="6" w:space="0"/>
              <w:right w:val="single" w:color="auto" w:sz="6" w:space="0"/>
            </w:tcBorders>
            <w:vAlign w:val="top"/>
          </w:tcPr>
          <w:p w14:paraId="260BB5E3">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根据响应供应商</w:t>
            </w:r>
            <w:r>
              <w:rPr>
                <w:rFonts w:hint="eastAsia" w:asciiTheme="minorEastAsia" w:hAnsiTheme="minorEastAsia" w:eastAsiaTheme="minorEastAsia" w:cstheme="minorEastAsia"/>
                <w:color w:val="auto"/>
                <w:sz w:val="24"/>
                <w:szCs w:val="24"/>
                <w:highlight w:val="none"/>
                <w:lang w:val="en-US" w:eastAsia="zh-CN"/>
              </w:rPr>
              <w:t>提供的</w:t>
            </w:r>
            <w:r>
              <w:rPr>
                <w:rFonts w:hint="eastAsia" w:asciiTheme="minorEastAsia" w:hAnsiTheme="minorEastAsia" w:eastAsiaTheme="minorEastAsia" w:cstheme="minorEastAsia"/>
                <w:color w:val="auto"/>
                <w:sz w:val="24"/>
                <w:szCs w:val="24"/>
              </w:rPr>
              <w:t>施工进度实施计划与质量、安全保证措施</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包括但不限于施工进度实施计划、工程质量保证、安全生产保证体系、施工人员安全培训、现场安全生产管理等</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highlight w:val="none"/>
              </w:rPr>
              <w:t>进行评审：</w:t>
            </w:r>
          </w:p>
          <w:p w14:paraId="76E63925">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lang w:val="en-US" w:eastAsia="zh-CN"/>
              </w:rPr>
              <w:t>施工进度实施计划合理、可行，工程质量保证</w:t>
            </w:r>
            <w:r>
              <w:rPr>
                <w:rFonts w:hint="eastAsia" w:asciiTheme="minorEastAsia" w:hAnsiTheme="minorEastAsia" w:eastAsiaTheme="minorEastAsia" w:cstheme="minorEastAsia"/>
                <w:b w:val="0"/>
                <w:bCs w:val="0"/>
                <w:color w:val="auto"/>
                <w:sz w:val="24"/>
                <w:szCs w:val="24"/>
                <w:highlight w:val="none"/>
                <w:lang w:val="en-US" w:eastAsia="zh-CN"/>
              </w:rPr>
              <w:t>措施完善</w:t>
            </w:r>
            <w:r>
              <w:rPr>
                <w:rFonts w:hint="eastAsia" w:asciiTheme="minorEastAsia" w:hAnsiTheme="minorEastAsia" w:eastAsiaTheme="minorEastAsia" w:cstheme="minorEastAsia"/>
                <w:color w:val="auto"/>
                <w:sz w:val="24"/>
                <w:szCs w:val="24"/>
                <w:lang w:val="en-US" w:eastAsia="zh-CN"/>
              </w:rPr>
              <w:t>，安全生产保证体系、施工人员安全培训方案全面，可行性高，现场安全生产管理内容完整详细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highlight w:val="none"/>
              </w:rPr>
              <w:t>得</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p w14:paraId="131CBE6E">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lang w:val="en-US" w:eastAsia="zh-CN"/>
              </w:rPr>
              <w:t>施工进度实施计划部分内容合理，工程质量保证</w:t>
            </w:r>
            <w:r>
              <w:rPr>
                <w:rFonts w:hint="eastAsia" w:asciiTheme="minorEastAsia" w:hAnsiTheme="minorEastAsia" w:eastAsiaTheme="minorEastAsia" w:cstheme="minorEastAsia"/>
                <w:b w:val="0"/>
                <w:bCs w:val="0"/>
                <w:color w:val="auto"/>
                <w:sz w:val="24"/>
                <w:szCs w:val="24"/>
                <w:highlight w:val="none"/>
                <w:lang w:val="en-US" w:eastAsia="zh-CN"/>
              </w:rPr>
              <w:t>措施基本完善</w:t>
            </w:r>
            <w:r>
              <w:rPr>
                <w:rFonts w:hint="eastAsia" w:asciiTheme="minorEastAsia" w:hAnsiTheme="minorEastAsia" w:eastAsiaTheme="minorEastAsia" w:cstheme="minorEastAsia"/>
                <w:color w:val="auto"/>
                <w:sz w:val="24"/>
                <w:szCs w:val="24"/>
                <w:lang w:val="en-US" w:eastAsia="zh-CN"/>
              </w:rPr>
              <w:t>，安全生产保证体系、施工人员安全培训方案基本全面，可行性高，现场安全生产管理部分内容完整详细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得</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p w14:paraId="5F89D232">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lang w:val="en-US" w:eastAsia="zh-CN"/>
              </w:rPr>
              <w:t>施工进度实施计划基本合理，工程质量保证</w:t>
            </w:r>
            <w:r>
              <w:rPr>
                <w:rFonts w:hint="eastAsia" w:asciiTheme="minorEastAsia" w:hAnsiTheme="minorEastAsia" w:eastAsiaTheme="minorEastAsia" w:cstheme="minorEastAsia"/>
                <w:b w:val="0"/>
                <w:bCs w:val="0"/>
                <w:color w:val="auto"/>
                <w:sz w:val="24"/>
                <w:szCs w:val="24"/>
                <w:highlight w:val="none"/>
                <w:lang w:val="en-US" w:eastAsia="zh-CN"/>
              </w:rPr>
              <w:t>措施部分内容完善</w:t>
            </w:r>
            <w:r>
              <w:rPr>
                <w:rFonts w:hint="eastAsia" w:asciiTheme="minorEastAsia" w:hAnsiTheme="minorEastAsia" w:eastAsiaTheme="minorEastAsia" w:cstheme="minorEastAsia"/>
                <w:color w:val="auto"/>
                <w:sz w:val="24"/>
                <w:szCs w:val="24"/>
                <w:lang w:val="en-US" w:eastAsia="zh-CN"/>
              </w:rPr>
              <w:t>，安全生产保证体系、施工人员安全培训方案不全面，可行性不高，现场安全生产管理内容不完整详细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p w14:paraId="6DBCBE49">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color w:val="auto"/>
                <w:sz w:val="24"/>
                <w:szCs w:val="24"/>
                <w:highlight w:val="none"/>
              </w:rPr>
              <w:t>其他或无提供不得分。</w:t>
            </w:r>
          </w:p>
        </w:tc>
      </w:tr>
      <w:tr w14:paraId="0B8B85F7">
        <w:tblPrEx>
          <w:tblCellMar>
            <w:top w:w="0" w:type="dxa"/>
            <w:left w:w="108" w:type="dxa"/>
            <w:bottom w:w="0" w:type="dxa"/>
            <w:right w:w="108" w:type="dxa"/>
          </w:tblCellMar>
        </w:tblPrEx>
        <w:trPr>
          <w:trHeight w:val="414" w:hRule="atLeast"/>
          <w:jc w:val="center"/>
        </w:trPr>
        <w:tc>
          <w:tcPr>
            <w:tcW w:w="415" w:type="pct"/>
            <w:tcBorders>
              <w:top w:val="single" w:color="auto" w:sz="6" w:space="0"/>
              <w:left w:val="single" w:color="auto" w:sz="8" w:space="0"/>
              <w:bottom w:val="single" w:color="auto" w:sz="6" w:space="0"/>
              <w:right w:val="single" w:color="auto" w:sz="6" w:space="0"/>
            </w:tcBorders>
            <w:vAlign w:val="center"/>
          </w:tcPr>
          <w:p w14:paraId="732F145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919" w:type="pct"/>
            <w:tcBorders>
              <w:top w:val="single" w:color="auto" w:sz="6" w:space="0"/>
              <w:left w:val="single" w:color="auto" w:sz="6" w:space="0"/>
              <w:bottom w:val="single" w:color="auto" w:sz="6" w:space="0"/>
              <w:right w:val="single" w:color="auto" w:sz="6" w:space="0"/>
            </w:tcBorders>
            <w:vAlign w:val="center"/>
          </w:tcPr>
          <w:p w14:paraId="3B93669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bCs/>
                <w:snapToGrid w:val="0"/>
                <w:color w:val="auto"/>
                <w:kern w:val="0"/>
                <w:sz w:val="24"/>
                <w:szCs w:val="24"/>
              </w:rPr>
              <w:t>文明、环保施工保证措施</w:t>
            </w:r>
          </w:p>
        </w:tc>
        <w:tc>
          <w:tcPr>
            <w:tcW w:w="427" w:type="pct"/>
            <w:tcBorders>
              <w:top w:val="single" w:color="auto" w:sz="6" w:space="0"/>
              <w:left w:val="single" w:color="auto" w:sz="6" w:space="0"/>
              <w:bottom w:val="single" w:color="auto" w:sz="6" w:space="0"/>
              <w:right w:val="single" w:color="auto" w:sz="6" w:space="0"/>
            </w:tcBorders>
            <w:vAlign w:val="center"/>
          </w:tcPr>
          <w:p w14:paraId="3B0EC85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Cs/>
                <w:snapToGrid w:val="0"/>
                <w:color w:val="000000"/>
                <w:kern w:val="0"/>
                <w:sz w:val="24"/>
                <w:szCs w:val="24"/>
              </w:rPr>
            </w:pPr>
            <w:r>
              <w:rPr>
                <w:rFonts w:hint="eastAsia" w:asciiTheme="minorEastAsia" w:hAnsiTheme="minorEastAsia" w:eastAsiaTheme="minorEastAsia" w:cstheme="minorEastAsia"/>
                <w:snapToGrid w:val="0"/>
                <w:color w:val="auto"/>
                <w:kern w:val="0"/>
                <w:sz w:val="24"/>
                <w:szCs w:val="24"/>
                <w:lang w:val="en-US" w:eastAsia="zh-CN"/>
              </w:rPr>
              <w:t>10分</w:t>
            </w:r>
          </w:p>
        </w:tc>
        <w:tc>
          <w:tcPr>
            <w:tcW w:w="3237" w:type="pct"/>
            <w:tcBorders>
              <w:top w:val="single" w:color="auto" w:sz="6" w:space="0"/>
              <w:left w:val="single" w:color="auto" w:sz="6" w:space="0"/>
              <w:bottom w:val="single" w:color="auto" w:sz="6" w:space="0"/>
              <w:right w:val="single" w:color="auto" w:sz="6" w:space="0"/>
            </w:tcBorders>
            <w:vAlign w:val="top"/>
          </w:tcPr>
          <w:p w14:paraId="6B1638C7">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根据响应供应商</w:t>
            </w:r>
            <w:r>
              <w:rPr>
                <w:rFonts w:hint="eastAsia" w:asciiTheme="minorEastAsia" w:hAnsiTheme="minorEastAsia" w:eastAsiaTheme="minorEastAsia" w:cstheme="minorEastAsia"/>
                <w:color w:val="auto"/>
                <w:sz w:val="24"/>
                <w:szCs w:val="24"/>
                <w:highlight w:val="none"/>
                <w:lang w:val="en-US" w:eastAsia="zh-CN"/>
              </w:rPr>
              <w:t>提供的</w:t>
            </w:r>
            <w:r>
              <w:rPr>
                <w:rFonts w:hint="eastAsia" w:asciiTheme="minorEastAsia" w:hAnsiTheme="minorEastAsia" w:eastAsiaTheme="minorEastAsia" w:cstheme="minorEastAsia"/>
                <w:bCs/>
                <w:snapToGrid w:val="0"/>
                <w:color w:val="auto"/>
                <w:kern w:val="0"/>
                <w:sz w:val="24"/>
                <w:szCs w:val="24"/>
              </w:rPr>
              <w:t>文明、环保施工保证措施</w:t>
            </w:r>
            <w:r>
              <w:rPr>
                <w:rFonts w:hint="eastAsia" w:asciiTheme="minorEastAsia" w:hAnsiTheme="minorEastAsia" w:eastAsiaTheme="minorEastAsia" w:cstheme="minorEastAsia"/>
                <w:color w:val="auto"/>
                <w:sz w:val="24"/>
                <w:szCs w:val="24"/>
                <w:highlight w:val="none"/>
              </w:rPr>
              <w:t>进行评审：</w:t>
            </w:r>
          </w:p>
          <w:p w14:paraId="27A3FF75">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有完整的</w:t>
            </w:r>
            <w:r>
              <w:rPr>
                <w:rFonts w:hint="eastAsia" w:asciiTheme="minorEastAsia" w:hAnsiTheme="minorEastAsia" w:eastAsiaTheme="minorEastAsia" w:cstheme="minorEastAsia"/>
                <w:color w:val="auto"/>
                <w:sz w:val="24"/>
                <w:szCs w:val="24"/>
                <w:highlight w:val="none"/>
              </w:rPr>
              <w:t>文明</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环保</w:t>
            </w:r>
            <w:r>
              <w:rPr>
                <w:rFonts w:hint="eastAsia" w:asciiTheme="minorEastAsia" w:hAnsiTheme="minorEastAsia" w:eastAsiaTheme="minorEastAsia" w:cstheme="minorEastAsia"/>
                <w:color w:val="auto"/>
                <w:sz w:val="24"/>
                <w:szCs w:val="24"/>
                <w:highlight w:val="none"/>
              </w:rPr>
              <w:t>施工管理制度，文明及</w:t>
            </w:r>
            <w:r>
              <w:rPr>
                <w:rFonts w:hint="eastAsia" w:asciiTheme="minorEastAsia" w:hAnsiTheme="minorEastAsia" w:eastAsiaTheme="minorEastAsia" w:cstheme="minorEastAsia"/>
                <w:bCs/>
                <w:snapToGrid w:val="0"/>
                <w:color w:val="auto"/>
                <w:kern w:val="0"/>
                <w:sz w:val="24"/>
                <w:szCs w:val="24"/>
              </w:rPr>
              <w:t>环保</w:t>
            </w:r>
            <w:r>
              <w:rPr>
                <w:rFonts w:hint="eastAsia" w:asciiTheme="minorEastAsia" w:hAnsiTheme="minorEastAsia" w:eastAsiaTheme="minorEastAsia" w:cstheme="minorEastAsia"/>
                <w:bCs/>
                <w:snapToGrid w:val="0"/>
                <w:color w:val="auto"/>
                <w:kern w:val="0"/>
                <w:sz w:val="24"/>
                <w:szCs w:val="24"/>
                <w:lang w:val="en-US" w:eastAsia="zh-CN"/>
              </w:rPr>
              <w:t>施工</w:t>
            </w:r>
            <w:r>
              <w:rPr>
                <w:rFonts w:hint="eastAsia" w:asciiTheme="minorEastAsia" w:hAnsiTheme="minorEastAsia" w:eastAsiaTheme="minorEastAsia" w:cstheme="minorEastAsia"/>
                <w:color w:val="auto"/>
                <w:sz w:val="24"/>
                <w:szCs w:val="24"/>
                <w:highlight w:val="none"/>
              </w:rPr>
              <w:t>措施合理、可行，可操作性强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得</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p w14:paraId="32716C1B">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有基本完整的</w:t>
            </w:r>
            <w:r>
              <w:rPr>
                <w:rFonts w:hint="eastAsia" w:asciiTheme="minorEastAsia" w:hAnsiTheme="minorEastAsia" w:eastAsiaTheme="minorEastAsia" w:cstheme="minorEastAsia"/>
                <w:color w:val="auto"/>
                <w:sz w:val="24"/>
                <w:szCs w:val="24"/>
                <w:highlight w:val="none"/>
              </w:rPr>
              <w:t>文明</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环保</w:t>
            </w:r>
            <w:r>
              <w:rPr>
                <w:rFonts w:hint="eastAsia" w:asciiTheme="minorEastAsia" w:hAnsiTheme="minorEastAsia" w:eastAsiaTheme="minorEastAsia" w:cstheme="minorEastAsia"/>
                <w:color w:val="auto"/>
                <w:sz w:val="24"/>
                <w:szCs w:val="24"/>
                <w:highlight w:val="none"/>
              </w:rPr>
              <w:t>施工管理制度，文明及</w:t>
            </w:r>
            <w:r>
              <w:rPr>
                <w:rFonts w:hint="eastAsia" w:asciiTheme="minorEastAsia" w:hAnsiTheme="minorEastAsia" w:eastAsiaTheme="minorEastAsia" w:cstheme="minorEastAsia"/>
                <w:bCs/>
                <w:snapToGrid w:val="0"/>
                <w:color w:val="auto"/>
                <w:kern w:val="0"/>
                <w:sz w:val="24"/>
                <w:szCs w:val="24"/>
              </w:rPr>
              <w:t>环保</w:t>
            </w:r>
            <w:r>
              <w:rPr>
                <w:rFonts w:hint="eastAsia" w:asciiTheme="minorEastAsia" w:hAnsiTheme="minorEastAsia" w:eastAsiaTheme="minorEastAsia" w:cstheme="minorEastAsia"/>
                <w:bCs/>
                <w:snapToGrid w:val="0"/>
                <w:color w:val="auto"/>
                <w:kern w:val="0"/>
                <w:sz w:val="24"/>
                <w:szCs w:val="24"/>
                <w:lang w:val="en-US" w:eastAsia="zh-CN"/>
              </w:rPr>
              <w:t>施工</w:t>
            </w:r>
            <w:r>
              <w:rPr>
                <w:rFonts w:hint="eastAsia" w:asciiTheme="minorEastAsia" w:hAnsiTheme="minorEastAsia" w:eastAsiaTheme="minorEastAsia" w:cstheme="minorEastAsia"/>
                <w:color w:val="auto"/>
                <w:sz w:val="24"/>
                <w:szCs w:val="24"/>
                <w:highlight w:val="none"/>
              </w:rPr>
              <w:t>措施</w:t>
            </w:r>
            <w:r>
              <w:rPr>
                <w:rFonts w:hint="eastAsia" w:asciiTheme="minorEastAsia" w:hAnsiTheme="minorEastAsia" w:eastAsiaTheme="minorEastAsia" w:cstheme="minorEastAsia"/>
                <w:color w:val="auto"/>
                <w:sz w:val="24"/>
                <w:szCs w:val="24"/>
                <w:highlight w:val="none"/>
                <w:lang w:val="en-US" w:eastAsia="zh-CN"/>
              </w:rPr>
              <w:t>部分内容</w:t>
            </w:r>
            <w:r>
              <w:rPr>
                <w:rFonts w:hint="eastAsia" w:asciiTheme="minorEastAsia" w:hAnsiTheme="minorEastAsia" w:eastAsiaTheme="minorEastAsia" w:cstheme="minorEastAsia"/>
                <w:color w:val="auto"/>
                <w:sz w:val="24"/>
                <w:szCs w:val="24"/>
                <w:highlight w:val="none"/>
              </w:rPr>
              <w:t>合理、可行，可操作性强，得</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p w14:paraId="3AF014EF">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文明</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环保</w:t>
            </w:r>
            <w:r>
              <w:rPr>
                <w:rFonts w:hint="eastAsia" w:asciiTheme="minorEastAsia" w:hAnsiTheme="minorEastAsia" w:eastAsiaTheme="minorEastAsia" w:cstheme="minorEastAsia"/>
                <w:color w:val="auto"/>
                <w:sz w:val="24"/>
                <w:szCs w:val="24"/>
                <w:highlight w:val="none"/>
              </w:rPr>
              <w:t>施工管理制度</w:t>
            </w:r>
            <w:r>
              <w:rPr>
                <w:rFonts w:hint="eastAsia" w:asciiTheme="minorEastAsia" w:hAnsiTheme="minorEastAsia" w:eastAsiaTheme="minorEastAsia" w:cstheme="minorEastAsia"/>
                <w:color w:val="auto"/>
                <w:sz w:val="24"/>
                <w:szCs w:val="24"/>
                <w:highlight w:val="none"/>
                <w:lang w:val="en-US" w:eastAsia="zh-CN"/>
              </w:rPr>
              <w:t>部分内容完整</w:t>
            </w:r>
            <w:r>
              <w:rPr>
                <w:rFonts w:hint="eastAsia" w:asciiTheme="minorEastAsia" w:hAnsiTheme="minorEastAsia" w:eastAsiaTheme="minorEastAsia" w:cstheme="minorEastAsia"/>
                <w:color w:val="auto"/>
                <w:sz w:val="24"/>
                <w:szCs w:val="24"/>
                <w:highlight w:val="none"/>
              </w:rPr>
              <w:t>，文明及</w:t>
            </w:r>
            <w:r>
              <w:rPr>
                <w:rFonts w:hint="eastAsia" w:asciiTheme="minorEastAsia" w:hAnsiTheme="minorEastAsia" w:eastAsiaTheme="minorEastAsia" w:cstheme="minorEastAsia"/>
                <w:bCs/>
                <w:snapToGrid w:val="0"/>
                <w:color w:val="auto"/>
                <w:kern w:val="0"/>
                <w:sz w:val="24"/>
                <w:szCs w:val="24"/>
              </w:rPr>
              <w:t>环保</w:t>
            </w:r>
            <w:r>
              <w:rPr>
                <w:rFonts w:hint="eastAsia" w:asciiTheme="minorEastAsia" w:hAnsiTheme="minorEastAsia" w:eastAsiaTheme="minorEastAsia" w:cstheme="minorEastAsia"/>
                <w:bCs/>
                <w:snapToGrid w:val="0"/>
                <w:color w:val="auto"/>
                <w:kern w:val="0"/>
                <w:sz w:val="24"/>
                <w:szCs w:val="24"/>
                <w:lang w:val="en-US" w:eastAsia="zh-CN"/>
              </w:rPr>
              <w:t>施工</w:t>
            </w:r>
            <w:r>
              <w:rPr>
                <w:rFonts w:hint="eastAsia" w:asciiTheme="minorEastAsia" w:hAnsiTheme="minorEastAsia" w:eastAsiaTheme="minorEastAsia" w:cstheme="minorEastAsia"/>
                <w:color w:val="auto"/>
                <w:sz w:val="24"/>
                <w:szCs w:val="24"/>
                <w:highlight w:val="none"/>
              </w:rPr>
              <w:t>措施</w:t>
            </w:r>
            <w:r>
              <w:rPr>
                <w:rFonts w:hint="eastAsia" w:asciiTheme="minorEastAsia" w:hAnsiTheme="minorEastAsia" w:eastAsiaTheme="minorEastAsia" w:cstheme="minorEastAsia"/>
                <w:color w:val="auto"/>
                <w:sz w:val="24"/>
                <w:szCs w:val="24"/>
                <w:highlight w:val="none"/>
                <w:lang w:val="en-US" w:eastAsia="zh-CN"/>
              </w:rPr>
              <w:t>不</w:t>
            </w:r>
            <w:r>
              <w:rPr>
                <w:rFonts w:hint="eastAsia" w:asciiTheme="minorEastAsia" w:hAnsiTheme="minorEastAsia" w:eastAsiaTheme="minorEastAsia" w:cstheme="minorEastAsia"/>
                <w:color w:val="auto"/>
                <w:sz w:val="24"/>
                <w:szCs w:val="24"/>
                <w:highlight w:val="none"/>
              </w:rPr>
              <w:t>合理、</w:t>
            </w:r>
            <w:r>
              <w:rPr>
                <w:rFonts w:hint="eastAsia" w:asciiTheme="minorEastAsia" w:hAnsiTheme="minorEastAsia" w:eastAsiaTheme="minorEastAsia" w:cstheme="minorEastAsia"/>
                <w:color w:val="auto"/>
                <w:sz w:val="24"/>
                <w:szCs w:val="24"/>
                <w:highlight w:val="none"/>
                <w:lang w:val="en-US" w:eastAsia="zh-CN"/>
              </w:rPr>
              <w:t>不</w:t>
            </w:r>
            <w:r>
              <w:rPr>
                <w:rFonts w:hint="eastAsia" w:asciiTheme="minorEastAsia" w:hAnsiTheme="minorEastAsia" w:eastAsiaTheme="minorEastAsia" w:cstheme="minorEastAsia"/>
                <w:color w:val="auto"/>
                <w:sz w:val="24"/>
                <w:szCs w:val="24"/>
                <w:highlight w:val="none"/>
              </w:rPr>
              <w:t>可行，可操作性</w:t>
            </w:r>
            <w:r>
              <w:rPr>
                <w:rFonts w:hint="eastAsia" w:asciiTheme="minorEastAsia" w:hAnsiTheme="minorEastAsia" w:eastAsiaTheme="minorEastAsia" w:cstheme="minorEastAsia"/>
                <w:color w:val="auto"/>
                <w:sz w:val="24"/>
                <w:szCs w:val="24"/>
                <w:highlight w:val="none"/>
                <w:lang w:val="en-US" w:eastAsia="zh-CN"/>
              </w:rPr>
              <w:t>不</w:t>
            </w:r>
            <w:r>
              <w:rPr>
                <w:rFonts w:hint="eastAsia" w:asciiTheme="minorEastAsia" w:hAnsiTheme="minorEastAsia" w:eastAsiaTheme="minorEastAsia" w:cstheme="minorEastAsia"/>
                <w:color w:val="auto"/>
                <w:sz w:val="24"/>
                <w:szCs w:val="24"/>
                <w:highlight w:val="none"/>
              </w:rPr>
              <w:t>强，得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p w14:paraId="2416EC38">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t>其他或无提供不得分。</w:t>
            </w:r>
          </w:p>
        </w:tc>
      </w:tr>
      <w:tr w14:paraId="07B308B6">
        <w:tblPrEx>
          <w:tblCellMar>
            <w:top w:w="0" w:type="dxa"/>
            <w:left w:w="108" w:type="dxa"/>
            <w:bottom w:w="0" w:type="dxa"/>
            <w:right w:w="108" w:type="dxa"/>
          </w:tblCellMar>
        </w:tblPrEx>
        <w:trPr>
          <w:trHeight w:val="561" w:hRule="atLeast"/>
          <w:jc w:val="center"/>
        </w:trPr>
        <w:tc>
          <w:tcPr>
            <w:tcW w:w="415" w:type="pct"/>
            <w:tcBorders>
              <w:top w:val="single" w:color="auto" w:sz="6" w:space="0"/>
              <w:left w:val="single" w:color="auto" w:sz="8" w:space="0"/>
              <w:bottom w:val="single" w:color="auto" w:sz="6" w:space="0"/>
              <w:right w:val="single" w:color="auto" w:sz="6" w:space="0"/>
            </w:tcBorders>
            <w:vAlign w:val="center"/>
          </w:tcPr>
          <w:p w14:paraId="358FDA5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919" w:type="pct"/>
            <w:tcBorders>
              <w:top w:val="single" w:color="auto" w:sz="6" w:space="0"/>
              <w:left w:val="single" w:color="auto" w:sz="6" w:space="0"/>
              <w:bottom w:val="single" w:color="auto" w:sz="6" w:space="0"/>
              <w:right w:val="single" w:color="auto" w:sz="6" w:space="0"/>
            </w:tcBorders>
            <w:vAlign w:val="center"/>
          </w:tcPr>
          <w:p w14:paraId="5640365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t>对施工过程及相关技术把握及应用</w:t>
            </w:r>
          </w:p>
        </w:tc>
        <w:tc>
          <w:tcPr>
            <w:tcW w:w="427" w:type="pct"/>
            <w:tcBorders>
              <w:top w:val="single" w:color="auto" w:sz="6" w:space="0"/>
              <w:left w:val="single" w:color="auto" w:sz="6" w:space="0"/>
              <w:bottom w:val="single" w:color="auto" w:sz="6" w:space="0"/>
              <w:right w:val="single" w:color="auto" w:sz="6" w:space="0"/>
            </w:tcBorders>
            <w:vAlign w:val="center"/>
          </w:tcPr>
          <w:p w14:paraId="3732DF0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auto"/>
                <w:kern w:val="0"/>
                <w:sz w:val="24"/>
                <w:szCs w:val="24"/>
                <w:lang w:val="en-US" w:eastAsia="zh-CN"/>
              </w:rPr>
              <w:t>10分</w:t>
            </w:r>
          </w:p>
        </w:tc>
        <w:tc>
          <w:tcPr>
            <w:tcW w:w="3237" w:type="pct"/>
            <w:tcBorders>
              <w:top w:val="single" w:color="auto" w:sz="6" w:space="0"/>
              <w:left w:val="single" w:color="auto" w:sz="6" w:space="0"/>
              <w:bottom w:val="single" w:color="auto" w:sz="6" w:space="0"/>
              <w:right w:val="single" w:color="auto" w:sz="6" w:space="0"/>
            </w:tcBorders>
            <w:vAlign w:val="top"/>
          </w:tcPr>
          <w:p w14:paraId="31C23371">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根据响应供应商对施工过程及相关技术把握及应用进行评审。</w:t>
            </w:r>
          </w:p>
          <w:p w14:paraId="0530C71B">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施工关键技术工艺把握及应用准确，技术措施可以充分保障工程质量，有具体、科学、可行的项目建议</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得</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p w14:paraId="43D4C6C2">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施工关键技术工艺把握及应用</w:t>
            </w:r>
            <w:r>
              <w:rPr>
                <w:rFonts w:hint="eastAsia" w:asciiTheme="minorEastAsia" w:hAnsiTheme="minorEastAsia" w:eastAsiaTheme="minorEastAsia" w:cstheme="minorEastAsia"/>
                <w:color w:val="auto"/>
                <w:sz w:val="24"/>
                <w:szCs w:val="24"/>
                <w:highlight w:val="none"/>
                <w:lang w:val="en-US" w:eastAsia="zh-CN"/>
              </w:rPr>
              <w:t>部分内容</w:t>
            </w:r>
            <w:r>
              <w:rPr>
                <w:rFonts w:hint="eastAsia" w:asciiTheme="minorEastAsia" w:hAnsiTheme="minorEastAsia" w:eastAsiaTheme="minorEastAsia" w:cstheme="minorEastAsia"/>
                <w:color w:val="auto"/>
                <w:sz w:val="24"/>
                <w:szCs w:val="24"/>
                <w:highlight w:val="none"/>
              </w:rPr>
              <w:t>准确，技术措施</w:t>
            </w:r>
            <w:r>
              <w:rPr>
                <w:rFonts w:hint="eastAsia" w:asciiTheme="minorEastAsia" w:hAnsiTheme="minorEastAsia" w:eastAsiaTheme="minorEastAsia" w:cstheme="minorEastAsia"/>
                <w:color w:val="auto"/>
                <w:sz w:val="24"/>
                <w:szCs w:val="24"/>
                <w:highlight w:val="none"/>
                <w:lang w:val="en-US" w:eastAsia="zh-CN"/>
              </w:rPr>
              <w:t>部分内容能</w:t>
            </w:r>
            <w:r>
              <w:rPr>
                <w:rFonts w:hint="eastAsia" w:asciiTheme="minorEastAsia" w:hAnsiTheme="minorEastAsia" w:eastAsiaTheme="minorEastAsia" w:cstheme="minorEastAsia"/>
                <w:color w:val="auto"/>
                <w:sz w:val="24"/>
                <w:szCs w:val="24"/>
                <w:highlight w:val="none"/>
              </w:rPr>
              <w:t>保障工程质量，有具体、科学、可行的项目建议</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得</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p w14:paraId="3D3FA1EA">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施工关键技术工艺把握及应用</w:t>
            </w:r>
            <w:r>
              <w:rPr>
                <w:rFonts w:hint="eastAsia" w:asciiTheme="minorEastAsia" w:hAnsiTheme="minorEastAsia" w:eastAsiaTheme="minorEastAsia" w:cstheme="minorEastAsia"/>
                <w:color w:val="auto"/>
                <w:sz w:val="24"/>
                <w:szCs w:val="24"/>
                <w:highlight w:val="none"/>
                <w:lang w:val="en-US" w:eastAsia="zh-CN"/>
              </w:rPr>
              <w:t>不</w:t>
            </w:r>
            <w:r>
              <w:rPr>
                <w:rFonts w:hint="eastAsia" w:asciiTheme="minorEastAsia" w:hAnsiTheme="minorEastAsia" w:eastAsiaTheme="minorEastAsia" w:cstheme="minorEastAsia"/>
                <w:color w:val="auto"/>
                <w:sz w:val="24"/>
                <w:szCs w:val="24"/>
                <w:highlight w:val="none"/>
              </w:rPr>
              <w:t>准确，技术措施</w:t>
            </w:r>
            <w:r>
              <w:rPr>
                <w:rFonts w:hint="eastAsia" w:asciiTheme="minorEastAsia" w:hAnsiTheme="minorEastAsia" w:eastAsiaTheme="minorEastAsia" w:cstheme="minorEastAsia"/>
                <w:color w:val="auto"/>
                <w:sz w:val="24"/>
                <w:szCs w:val="24"/>
                <w:highlight w:val="none"/>
                <w:lang w:val="en-US" w:eastAsia="zh-CN"/>
              </w:rPr>
              <w:t>基本能</w:t>
            </w:r>
            <w:r>
              <w:rPr>
                <w:rFonts w:hint="eastAsia" w:asciiTheme="minorEastAsia" w:hAnsiTheme="minorEastAsia" w:eastAsiaTheme="minorEastAsia" w:cstheme="minorEastAsia"/>
                <w:color w:val="auto"/>
                <w:sz w:val="24"/>
                <w:szCs w:val="24"/>
                <w:highlight w:val="none"/>
              </w:rPr>
              <w:t>保障工程质量，项目建议</w:t>
            </w:r>
            <w:r>
              <w:rPr>
                <w:rFonts w:hint="eastAsia" w:asciiTheme="minorEastAsia" w:hAnsiTheme="minorEastAsia" w:eastAsiaTheme="minorEastAsia" w:cstheme="minorEastAsia"/>
                <w:color w:val="auto"/>
                <w:sz w:val="24"/>
                <w:szCs w:val="24"/>
                <w:highlight w:val="none"/>
                <w:lang w:val="en-US" w:eastAsia="zh-CN"/>
              </w:rPr>
              <w:t>简单</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得3</w:t>
            </w:r>
            <w:r>
              <w:rPr>
                <w:rFonts w:hint="eastAsia" w:asciiTheme="minorEastAsia" w:hAnsiTheme="minorEastAsia" w:eastAsiaTheme="minorEastAsia" w:cstheme="minorEastAsia"/>
                <w:color w:val="auto"/>
                <w:sz w:val="24"/>
                <w:szCs w:val="24"/>
                <w:highlight w:val="none"/>
              </w:rPr>
              <w:t>分；</w:t>
            </w:r>
          </w:p>
          <w:p w14:paraId="1248CD18">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t>其他或无提供不得分。</w:t>
            </w:r>
          </w:p>
        </w:tc>
      </w:tr>
      <w:tr w14:paraId="0E2AE91B">
        <w:tblPrEx>
          <w:tblCellMar>
            <w:top w:w="0" w:type="dxa"/>
            <w:left w:w="108" w:type="dxa"/>
            <w:bottom w:w="0" w:type="dxa"/>
            <w:right w:w="108" w:type="dxa"/>
          </w:tblCellMar>
        </w:tblPrEx>
        <w:trPr>
          <w:trHeight w:val="542" w:hRule="atLeast"/>
          <w:jc w:val="center"/>
        </w:trPr>
        <w:tc>
          <w:tcPr>
            <w:tcW w:w="1335" w:type="pct"/>
            <w:gridSpan w:val="2"/>
            <w:tcBorders>
              <w:top w:val="single" w:color="auto" w:sz="4" w:space="0"/>
              <w:left w:val="single" w:color="auto" w:sz="4" w:space="0"/>
              <w:bottom w:val="single" w:color="auto" w:sz="4" w:space="0"/>
              <w:right w:val="single" w:color="auto" w:sz="4" w:space="0"/>
            </w:tcBorders>
            <w:vAlign w:val="center"/>
          </w:tcPr>
          <w:p w14:paraId="5FA9EAC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合计</w:t>
            </w:r>
          </w:p>
        </w:tc>
        <w:tc>
          <w:tcPr>
            <w:tcW w:w="427" w:type="pct"/>
            <w:tcBorders>
              <w:top w:val="single" w:color="auto" w:sz="4" w:space="0"/>
              <w:left w:val="nil"/>
              <w:bottom w:val="single" w:color="auto" w:sz="4" w:space="0"/>
              <w:right w:val="single" w:color="auto" w:sz="4" w:space="0"/>
            </w:tcBorders>
            <w:vAlign w:val="center"/>
          </w:tcPr>
          <w:p w14:paraId="19A7DC4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40</w:t>
            </w:r>
            <w:r>
              <w:rPr>
                <w:rFonts w:hint="eastAsia" w:asciiTheme="minorEastAsia" w:hAnsiTheme="minorEastAsia" w:eastAsiaTheme="minorEastAsia" w:cstheme="minorEastAsia"/>
                <w:sz w:val="24"/>
                <w:szCs w:val="24"/>
              </w:rPr>
              <w:t>分</w:t>
            </w:r>
          </w:p>
        </w:tc>
        <w:tc>
          <w:tcPr>
            <w:tcW w:w="3237" w:type="pct"/>
            <w:tcBorders>
              <w:top w:val="single" w:color="auto" w:sz="4" w:space="0"/>
              <w:left w:val="single" w:color="auto" w:sz="4" w:space="0"/>
              <w:bottom w:val="single" w:color="auto" w:sz="4" w:space="0"/>
              <w:right w:val="single" w:color="auto" w:sz="4" w:space="0"/>
            </w:tcBorders>
            <w:vAlign w:val="center"/>
          </w:tcPr>
          <w:p w14:paraId="7237222E">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rPr>
            </w:pPr>
          </w:p>
        </w:tc>
      </w:tr>
    </w:tbl>
    <w:p w14:paraId="5BA7E7F7">
      <w:pPr>
        <w:spacing w:line="360" w:lineRule="auto"/>
        <w:outlineLvl w:val="1"/>
        <w:rPr>
          <w:rFonts w:ascii="time of new roman" w:hAnsi="time of new roman"/>
          <w:szCs w:val="24"/>
        </w:rPr>
      </w:pPr>
      <w:r>
        <w:rPr>
          <w:rFonts w:ascii="time of new roman" w:hAnsi="time of new roman"/>
          <w:szCs w:val="24"/>
        </w:rPr>
        <w:br w:type="page"/>
      </w:r>
      <w:bookmarkStart w:id="769" w:name="_Toc488422464"/>
      <w:bookmarkStart w:id="770" w:name="_Toc71878611"/>
      <w:bookmarkStart w:id="771" w:name="_Toc55911498"/>
      <w:bookmarkStart w:id="772" w:name="_Toc475805900"/>
      <w:bookmarkStart w:id="773" w:name="_Toc496045549"/>
      <w:bookmarkStart w:id="774" w:name="_Toc78274979"/>
      <w:bookmarkStart w:id="775" w:name="_Toc69828238"/>
      <w:bookmarkStart w:id="776" w:name="_Toc499278278"/>
      <w:bookmarkStart w:id="777" w:name="_Toc468450960"/>
      <w:bookmarkStart w:id="778" w:name="_Toc488321035"/>
      <w:bookmarkStart w:id="779" w:name="_Toc504122281"/>
      <w:bookmarkStart w:id="780" w:name="_Toc416208500"/>
      <w:bookmarkStart w:id="781" w:name="_Toc82445271"/>
      <w:bookmarkStart w:id="782" w:name="_Toc389763145"/>
      <w:bookmarkStart w:id="783" w:name="_Toc389080939"/>
      <w:bookmarkStart w:id="784" w:name="_Toc77781879"/>
      <w:bookmarkStart w:id="785" w:name="_Toc477807606"/>
      <w:bookmarkStart w:id="786" w:name="_Toc514163581"/>
      <w:bookmarkStart w:id="787" w:name="_Toc80869752"/>
      <w:bookmarkStart w:id="788" w:name="_Toc477691934"/>
      <w:bookmarkStart w:id="789" w:name="_Toc490033965"/>
      <w:bookmarkStart w:id="790" w:name="_Toc26232"/>
      <w:bookmarkStart w:id="791" w:name="_Toc439513459"/>
      <w:bookmarkStart w:id="792" w:name="_Toc438722144"/>
      <w:bookmarkStart w:id="793" w:name="_Toc422162006"/>
      <w:bookmarkStart w:id="794" w:name="_Toc55745684"/>
      <w:bookmarkStart w:id="795" w:name="_Toc447233599"/>
      <w:bookmarkStart w:id="796" w:name="_Toc498265699"/>
      <w:bookmarkStart w:id="797" w:name="_Toc496123837"/>
      <w:bookmarkStart w:id="798" w:name="_Toc513652329"/>
      <w:bookmarkStart w:id="799" w:name="_Toc403580052"/>
      <w:bookmarkStart w:id="800" w:name="_Toc515971213"/>
      <w:bookmarkStart w:id="801" w:name="_Toc90148936"/>
      <w:bookmarkStart w:id="802" w:name="_Toc392064531"/>
      <w:bookmarkStart w:id="803" w:name="_Toc498978654"/>
      <w:bookmarkStart w:id="804" w:name="_Toc503169266"/>
      <w:bookmarkStart w:id="805" w:name="_Toc468457011"/>
      <w:bookmarkStart w:id="806" w:name="_Toc25391"/>
      <w:bookmarkStart w:id="807" w:name="_Toc504062545"/>
      <w:bookmarkStart w:id="808" w:name="_Toc479343995"/>
      <w:bookmarkStart w:id="809" w:name="_Toc93997414"/>
      <w:bookmarkStart w:id="810" w:name="_Toc82692204"/>
      <w:bookmarkStart w:id="811" w:name="_Toc51416540"/>
      <w:bookmarkStart w:id="812" w:name="_Toc414510794"/>
      <w:bookmarkStart w:id="813" w:name="_Toc425347676"/>
      <w:bookmarkStart w:id="814" w:name="_Toc438508611"/>
      <w:bookmarkStart w:id="815" w:name="_Toc504741277"/>
      <w:bookmarkStart w:id="816" w:name="_Toc487101028"/>
      <w:bookmarkStart w:id="817" w:name="_Toc75028790"/>
      <w:bookmarkStart w:id="818" w:name="_Toc6845"/>
      <w:bookmarkStart w:id="819" w:name="_Toc24471644"/>
      <w:bookmarkStart w:id="820" w:name="_Toc489892980"/>
      <w:bookmarkStart w:id="821" w:name="_Toc438513748"/>
      <w:bookmarkStart w:id="822" w:name="_Toc498079544"/>
      <w:bookmarkStart w:id="823" w:name="_Toc55671118"/>
      <w:bookmarkStart w:id="824" w:name="_Toc51778301"/>
      <w:bookmarkStart w:id="825" w:name="_Toc418023347"/>
      <w:bookmarkStart w:id="826" w:name="_Toc403072955"/>
      <w:bookmarkStart w:id="827" w:name="_Toc66020779"/>
      <w:bookmarkStart w:id="828" w:name="_Toc439679282"/>
      <w:bookmarkStart w:id="829" w:name="_Toc51416863"/>
      <w:bookmarkStart w:id="830" w:name="_Toc11922015"/>
      <w:bookmarkStart w:id="831" w:name="_Toc9312"/>
      <w:bookmarkStart w:id="832" w:name="_Toc23012"/>
      <w:bookmarkStart w:id="833" w:name="_Toc78444623"/>
      <w:bookmarkStart w:id="834" w:name="_Toc482195781"/>
      <w:bookmarkStart w:id="835" w:name="_Toc409601380"/>
      <w:bookmarkStart w:id="836" w:name="_Toc26568"/>
      <w:bookmarkStart w:id="837" w:name="_Toc496096043"/>
      <w:bookmarkStart w:id="838" w:name="_Toc65680729"/>
      <w:bookmarkStart w:id="839" w:name="_Toc91288862"/>
      <w:bookmarkStart w:id="840" w:name="_Toc489974558"/>
      <w:bookmarkStart w:id="841" w:name="_Toc482255093"/>
      <w:bookmarkStart w:id="842" w:name="_Toc439513175"/>
      <w:bookmarkStart w:id="843" w:name="_Toc422865435"/>
      <w:bookmarkStart w:id="844" w:name="_Toc475804843"/>
      <w:bookmarkStart w:id="845" w:name="_Toc482365853"/>
      <w:r>
        <w:rPr>
          <w:rFonts w:hint="eastAsia" w:ascii="宋体" w:hAnsi="宋体" w:cs="Tahoma"/>
          <w:b/>
          <w:sz w:val="24"/>
        </w:rPr>
        <w:t>附表3 商务响应性评审表</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14:paraId="468DA2E7">
      <w:pPr>
        <w:spacing w:line="360" w:lineRule="auto"/>
        <w:rPr>
          <w:sz w:val="24"/>
          <w:szCs w:val="24"/>
        </w:rPr>
      </w:pPr>
      <w:r>
        <w:rPr>
          <w:rFonts w:hint="eastAsia" w:ascii="宋体" w:hAnsi="宋体"/>
          <w:sz w:val="24"/>
          <w:szCs w:val="24"/>
        </w:rPr>
        <w:t>项目名称：</w:t>
      </w:r>
      <w:r>
        <w:rPr>
          <w:rFonts w:hint="eastAsia" w:ascii="宋体" w:hAnsi="宋体" w:cs="Tahoma"/>
          <w:sz w:val="24"/>
          <w:lang w:eastAsia="zh-CN"/>
        </w:rPr>
        <w:t>广东省粤东技师学院海天数智化综合实训基地改造工程</w:t>
      </w:r>
    </w:p>
    <w:p w14:paraId="213B0B33">
      <w:pPr>
        <w:spacing w:line="360" w:lineRule="auto"/>
        <w:rPr>
          <w:rFonts w:hint="eastAsia" w:ascii="宋体" w:hAnsi="宋体"/>
          <w:sz w:val="24"/>
        </w:rPr>
      </w:pPr>
      <w:r>
        <w:rPr>
          <w:rFonts w:hint="eastAsia" w:ascii="宋体" w:hAnsi="宋体"/>
          <w:sz w:val="24"/>
          <w:szCs w:val="24"/>
        </w:rPr>
        <w:t>项目编号：</w:t>
      </w:r>
      <w:r>
        <w:rPr>
          <w:rFonts w:hint="eastAsia" w:ascii="宋体" w:cs="Tahoma"/>
          <w:bCs/>
          <w:sz w:val="24"/>
          <w:lang w:eastAsia="zh-CN"/>
        </w:rPr>
        <w:t>YL202411248</w:t>
      </w:r>
      <w:r>
        <w:rPr>
          <w:rFonts w:hint="eastAsia" w:ascii="宋体" w:hAnsi="宋体"/>
          <w:sz w:val="24"/>
        </w:rPr>
        <w:t xml:space="preserve"> </w:t>
      </w:r>
    </w:p>
    <w:tbl>
      <w:tblPr>
        <w:tblStyle w:val="50"/>
        <w:tblW w:w="5000" w:type="pct"/>
        <w:jc w:val="center"/>
        <w:tblLayout w:type="autofit"/>
        <w:tblCellMar>
          <w:top w:w="0" w:type="dxa"/>
          <w:left w:w="108" w:type="dxa"/>
          <w:bottom w:w="0" w:type="dxa"/>
          <w:right w:w="108" w:type="dxa"/>
        </w:tblCellMar>
      </w:tblPr>
      <w:tblGrid>
        <w:gridCol w:w="827"/>
        <w:gridCol w:w="1833"/>
        <w:gridCol w:w="851"/>
        <w:gridCol w:w="6451"/>
      </w:tblGrid>
      <w:tr w14:paraId="74B44201">
        <w:tblPrEx>
          <w:tblCellMar>
            <w:top w:w="0" w:type="dxa"/>
            <w:left w:w="108" w:type="dxa"/>
            <w:bottom w:w="0" w:type="dxa"/>
            <w:right w:w="108" w:type="dxa"/>
          </w:tblCellMar>
        </w:tblPrEx>
        <w:trPr>
          <w:trHeight w:val="703" w:hRule="atLeast"/>
          <w:jc w:val="center"/>
        </w:trPr>
        <w:tc>
          <w:tcPr>
            <w:tcW w:w="415" w:type="pct"/>
            <w:tcBorders>
              <w:top w:val="single" w:color="auto" w:sz="8" w:space="0"/>
              <w:left w:val="single" w:color="auto" w:sz="8" w:space="0"/>
              <w:bottom w:val="single" w:color="auto" w:sz="6" w:space="0"/>
              <w:right w:val="single" w:color="auto" w:sz="4" w:space="0"/>
            </w:tcBorders>
            <w:vAlign w:val="center"/>
          </w:tcPr>
          <w:p w14:paraId="76A3CEE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919" w:type="pct"/>
            <w:tcBorders>
              <w:top w:val="single" w:color="auto" w:sz="8" w:space="0"/>
              <w:left w:val="single" w:color="auto" w:sz="4" w:space="0"/>
              <w:bottom w:val="single" w:color="auto" w:sz="6" w:space="0"/>
              <w:right w:val="single" w:color="auto" w:sz="6" w:space="0"/>
            </w:tcBorders>
            <w:vAlign w:val="center"/>
          </w:tcPr>
          <w:p w14:paraId="68C6C5E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评审分项</w:t>
            </w:r>
          </w:p>
        </w:tc>
        <w:tc>
          <w:tcPr>
            <w:tcW w:w="427" w:type="pct"/>
            <w:tcBorders>
              <w:top w:val="single" w:color="auto" w:sz="8" w:space="0"/>
              <w:left w:val="single" w:color="auto" w:sz="6" w:space="0"/>
              <w:bottom w:val="single" w:color="auto" w:sz="6" w:space="0"/>
              <w:right w:val="single" w:color="auto" w:sz="6" w:space="0"/>
            </w:tcBorders>
            <w:vAlign w:val="center"/>
          </w:tcPr>
          <w:p w14:paraId="0E5B0D5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分值</w:t>
            </w:r>
          </w:p>
        </w:tc>
        <w:tc>
          <w:tcPr>
            <w:tcW w:w="3237" w:type="pct"/>
            <w:tcBorders>
              <w:top w:val="single" w:color="auto" w:sz="8" w:space="0"/>
              <w:left w:val="single" w:color="auto" w:sz="6" w:space="0"/>
              <w:bottom w:val="single" w:color="auto" w:sz="6" w:space="0"/>
              <w:right w:val="single" w:color="auto" w:sz="6" w:space="0"/>
            </w:tcBorders>
            <w:vAlign w:val="center"/>
          </w:tcPr>
          <w:p w14:paraId="44CFAC1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评审标准</w:t>
            </w:r>
          </w:p>
        </w:tc>
      </w:tr>
      <w:tr w14:paraId="67D26832">
        <w:tblPrEx>
          <w:tblCellMar>
            <w:top w:w="0" w:type="dxa"/>
            <w:left w:w="108" w:type="dxa"/>
            <w:bottom w:w="0" w:type="dxa"/>
            <w:right w:w="108" w:type="dxa"/>
          </w:tblCellMar>
        </w:tblPrEx>
        <w:trPr>
          <w:trHeight w:val="506" w:hRule="atLeast"/>
          <w:jc w:val="center"/>
        </w:trPr>
        <w:tc>
          <w:tcPr>
            <w:tcW w:w="415" w:type="pct"/>
            <w:tcBorders>
              <w:top w:val="single" w:color="auto" w:sz="6" w:space="0"/>
              <w:left w:val="single" w:color="auto" w:sz="8" w:space="0"/>
              <w:bottom w:val="single" w:color="auto" w:sz="6" w:space="0"/>
              <w:right w:val="single" w:color="auto" w:sz="6" w:space="0"/>
            </w:tcBorders>
            <w:vAlign w:val="center"/>
          </w:tcPr>
          <w:p w14:paraId="542111C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33" w:type="dxa"/>
            <w:tcBorders>
              <w:top w:val="single" w:color="auto" w:sz="6" w:space="0"/>
              <w:left w:val="single" w:color="auto" w:sz="6" w:space="0"/>
              <w:bottom w:val="single" w:color="auto" w:sz="6" w:space="0"/>
              <w:right w:val="single" w:color="auto" w:sz="6" w:space="0"/>
            </w:tcBorders>
            <w:vAlign w:val="center"/>
          </w:tcPr>
          <w:p w14:paraId="4017ADD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snapToGrid w:val="0"/>
                <w:color w:val="000000"/>
                <w:kern w:val="0"/>
                <w:sz w:val="24"/>
                <w:szCs w:val="24"/>
              </w:rPr>
            </w:pPr>
            <w:r>
              <w:rPr>
                <w:rFonts w:hint="eastAsia" w:ascii="宋体" w:hAnsi="宋体"/>
                <w:sz w:val="24"/>
                <w:szCs w:val="24"/>
              </w:rPr>
              <w:t>同类项目业绩</w:t>
            </w:r>
          </w:p>
        </w:tc>
        <w:tc>
          <w:tcPr>
            <w:tcW w:w="851" w:type="dxa"/>
            <w:tcBorders>
              <w:top w:val="single" w:color="auto" w:sz="6" w:space="0"/>
              <w:left w:val="single" w:color="auto" w:sz="6" w:space="0"/>
              <w:bottom w:val="single" w:color="auto" w:sz="6" w:space="0"/>
              <w:right w:val="single" w:color="auto" w:sz="6" w:space="0"/>
            </w:tcBorders>
            <w:vAlign w:val="center"/>
          </w:tcPr>
          <w:p w14:paraId="59AB653A">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snapToGrid w:val="0"/>
                <w:color w:val="000000"/>
                <w:kern w:val="0"/>
                <w:sz w:val="24"/>
                <w:szCs w:val="24"/>
              </w:rPr>
            </w:pPr>
            <w:r>
              <w:rPr>
                <w:rFonts w:hint="eastAsia" w:ascii="宋体" w:hAnsi="宋体"/>
                <w:sz w:val="24"/>
                <w:szCs w:val="24"/>
              </w:rPr>
              <w:t>16分</w:t>
            </w:r>
          </w:p>
        </w:tc>
        <w:tc>
          <w:tcPr>
            <w:tcW w:w="6451" w:type="dxa"/>
            <w:tcBorders>
              <w:top w:val="single" w:color="auto" w:sz="6" w:space="0"/>
              <w:left w:val="single" w:color="auto" w:sz="6" w:space="0"/>
              <w:bottom w:val="single" w:color="auto" w:sz="6" w:space="0"/>
              <w:right w:val="single" w:color="auto" w:sz="6" w:space="0"/>
            </w:tcBorders>
            <w:vAlign w:val="center"/>
          </w:tcPr>
          <w:p w14:paraId="01522197">
            <w:pPr>
              <w:keepNext w:val="0"/>
              <w:keepLines w:val="0"/>
              <w:pageBreakBefore w:val="0"/>
              <w:kinsoku/>
              <w:wordWrap/>
              <w:overflowPunct/>
              <w:topLinePunct w:val="0"/>
              <w:autoSpaceDE/>
              <w:autoSpaceDN/>
              <w:bidi w:val="0"/>
              <w:spacing w:line="360" w:lineRule="auto"/>
              <w:textAlignment w:val="auto"/>
              <w:rPr>
                <w:rFonts w:hint="eastAsia" w:ascii="宋体" w:hAnsi="宋体"/>
                <w:sz w:val="24"/>
                <w:szCs w:val="24"/>
              </w:rPr>
            </w:pPr>
            <w:r>
              <w:rPr>
                <w:rFonts w:hint="eastAsia" w:ascii="宋体" w:hAnsi="宋体"/>
                <w:sz w:val="24"/>
                <w:szCs w:val="24"/>
                <w:lang w:eastAsia="zh-CN"/>
              </w:rPr>
              <w:t>响应供应商</w:t>
            </w:r>
            <w:r>
              <w:rPr>
                <w:rFonts w:hint="eastAsia" w:ascii="宋体" w:hAnsi="宋体"/>
                <w:sz w:val="24"/>
                <w:szCs w:val="24"/>
              </w:rPr>
              <w:t>自</w:t>
            </w:r>
            <w:r>
              <w:rPr>
                <w:rFonts w:ascii="宋体" w:hAnsi="宋体"/>
                <w:sz w:val="24"/>
                <w:szCs w:val="24"/>
              </w:rPr>
              <w:t>20</w:t>
            </w:r>
            <w:r>
              <w:rPr>
                <w:rFonts w:hint="eastAsia" w:ascii="宋体" w:hAnsi="宋体"/>
                <w:sz w:val="24"/>
                <w:szCs w:val="24"/>
              </w:rPr>
              <w:t>21</w:t>
            </w:r>
            <w:r>
              <w:rPr>
                <w:rFonts w:ascii="宋体" w:hAnsi="宋体"/>
                <w:sz w:val="24"/>
                <w:szCs w:val="24"/>
              </w:rPr>
              <w:t>年1月1日</w:t>
            </w:r>
            <w:r>
              <w:rPr>
                <w:rFonts w:hint="eastAsia" w:ascii="宋体" w:hAnsi="宋体"/>
                <w:sz w:val="24"/>
                <w:szCs w:val="24"/>
              </w:rPr>
              <w:t>以来完成过同类项目的，每完成过1个得2分，最高得16分。</w:t>
            </w:r>
          </w:p>
          <w:p w14:paraId="5AB38DA2">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rPr>
            </w:pPr>
            <w:r>
              <w:rPr>
                <w:rFonts w:hint="eastAsia" w:ascii="宋体" w:hAnsi="宋体"/>
                <w:b/>
                <w:bCs/>
                <w:sz w:val="24"/>
                <w:szCs w:val="24"/>
              </w:rPr>
              <w:t>注：响应时须提供合同关键页（含签订合同双方的单位名称、合同项目名称、签订合同双方的落款盖章、签订日期的关键页）复印件并加盖响应供应商公章，以签订合同的时间为准，无或未按要求提供证明材料的不得分。</w:t>
            </w:r>
          </w:p>
        </w:tc>
      </w:tr>
      <w:tr w14:paraId="30130E19">
        <w:tblPrEx>
          <w:tblCellMar>
            <w:top w:w="0" w:type="dxa"/>
            <w:left w:w="108" w:type="dxa"/>
            <w:bottom w:w="0" w:type="dxa"/>
            <w:right w:w="108" w:type="dxa"/>
          </w:tblCellMar>
        </w:tblPrEx>
        <w:trPr>
          <w:trHeight w:val="414" w:hRule="atLeast"/>
          <w:jc w:val="center"/>
        </w:trPr>
        <w:tc>
          <w:tcPr>
            <w:tcW w:w="415" w:type="pct"/>
            <w:tcBorders>
              <w:top w:val="single" w:color="auto" w:sz="6" w:space="0"/>
              <w:left w:val="single" w:color="auto" w:sz="8" w:space="0"/>
              <w:bottom w:val="single" w:color="auto" w:sz="6" w:space="0"/>
              <w:right w:val="single" w:color="auto" w:sz="6" w:space="0"/>
            </w:tcBorders>
            <w:vAlign w:val="center"/>
          </w:tcPr>
          <w:p w14:paraId="2FBDB72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833" w:type="dxa"/>
            <w:tcBorders>
              <w:top w:val="single" w:color="auto" w:sz="6" w:space="0"/>
              <w:left w:val="single" w:color="auto" w:sz="6" w:space="0"/>
              <w:bottom w:val="single" w:color="auto" w:sz="6" w:space="0"/>
              <w:right w:val="single" w:color="auto" w:sz="6" w:space="0"/>
            </w:tcBorders>
            <w:vAlign w:val="center"/>
          </w:tcPr>
          <w:p w14:paraId="68F0A7D5">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宋体" w:hAnsi="宋体"/>
                <w:sz w:val="24"/>
                <w:szCs w:val="24"/>
                <w:lang w:eastAsia="zh-CN"/>
              </w:rPr>
              <w:t>响应供应商</w:t>
            </w:r>
            <w:r>
              <w:rPr>
                <w:rFonts w:hint="eastAsia" w:ascii="宋体" w:hAnsi="宋体" w:cs="宋体"/>
                <w:sz w:val="24"/>
                <w:szCs w:val="24"/>
              </w:rPr>
              <w:t>综合实力</w:t>
            </w:r>
          </w:p>
        </w:tc>
        <w:tc>
          <w:tcPr>
            <w:tcW w:w="851" w:type="dxa"/>
            <w:tcBorders>
              <w:top w:val="single" w:color="auto" w:sz="6" w:space="0"/>
              <w:left w:val="single" w:color="auto" w:sz="6" w:space="0"/>
              <w:bottom w:val="single" w:color="auto" w:sz="6" w:space="0"/>
              <w:right w:val="single" w:color="auto" w:sz="6" w:space="0"/>
            </w:tcBorders>
            <w:vAlign w:val="center"/>
          </w:tcPr>
          <w:p w14:paraId="1EF26AD9">
            <w:pPr>
              <w:keepNext w:val="0"/>
              <w:keepLines w:val="0"/>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sz w:val="24"/>
                <w:szCs w:val="24"/>
              </w:rPr>
            </w:pPr>
            <w:r>
              <w:rPr>
                <w:rFonts w:hint="eastAsia" w:ascii="宋体" w:hAnsi="宋体"/>
                <w:sz w:val="24"/>
                <w:szCs w:val="24"/>
              </w:rPr>
              <w:t>4分</w:t>
            </w:r>
          </w:p>
        </w:tc>
        <w:tc>
          <w:tcPr>
            <w:tcW w:w="6451" w:type="dxa"/>
            <w:tcBorders>
              <w:top w:val="single" w:color="auto" w:sz="6" w:space="0"/>
              <w:left w:val="single" w:color="auto" w:sz="6" w:space="0"/>
              <w:bottom w:val="single" w:color="auto" w:sz="6" w:space="0"/>
              <w:right w:val="single" w:color="auto" w:sz="6" w:space="0"/>
            </w:tcBorders>
            <w:vAlign w:val="center"/>
          </w:tcPr>
          <w:p w14:paraId="12AE927E">
            <w:pPr>
              <w:keepNext w:val="0"/>
              <w:keepLines w:val="0"/>
              <w:pageBreakBefore w:val="0"/>
              <w:kinsoku/>
              <w:wordWrap/>
              <w:overflowPunct/>
              <w:topLinePunct w:val="0"/>
              <w:autoSpaceDE/>
              <w:autoSpaceDN/>
              <w:bidi w:val="0"/>
              <w:spacing w:line="360" w:lineRule="auto"/>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响应供应商</w:t>
            </w:r>
            <w:r>
              <w:rPr>
                <w:rFonts w:hint="eastAsia" w:ascii="宋体" w:hAnsi="宋体"/>
                <w:sz w:val="24"/>
                <w:szCs w:val="24"/>
              </w:rPr>
              <w:t>具备质量管理体系认证证书的可得2分；</w:t>
            </w:r>
          </w:p>
          <w:p w14:paraId="5ECC39B8">
            <w:pPr>
              <w:keepNext w:val="0"/>
              <w:keepLines w:val="0"/>
              <w:pageBreakBefore w:val="0"/>
              <w:kinsoku/>
              <w:wordWrap/>
              <w:overflowPunct/>
              <w:topLinePunct w:val="0"/>
              <w:autoSpaceDE/>
              <w:autoSpaceDN/>
              <w:bidi w:val="0"/>
              <w:spacing w:line="360" w:lineRule="auto"/>
              <w:textAlignment w:val="auto"/>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响应供应商</w:t>
            </w:r>
            <w:r>
              <w:rPr>
                <w:rFonts w:hint="eastAsia" w:ascii="宋体" w:hAnsi="宋体"/>
                <w:sz w:val="24"/>
                <w:szCs w:val="24"/>
              </w:rPr>
              <w:t>具备环境管理体系认证证书的可得1分；</w:t>
            </w:r>
          </w:p>
          <w:p w14:paraId="01AE3202">
            <w:pPr>
              <w:keepNext w:val="0"/>
              <w:keepLines w:val="0"/>
              <w:pageBreakBefore w:val="0"/>
              <w:kinsoku/>
              <w:wordWrap/>
              <w:overflowPunct/>
              <w:topLinePunct w:val="0"/>
              <w:autoSpaceDE/>
              <w:autoSpaceDN/>
              <w:bidi w:val="0"/>
              <w:spacing w:line="360" w:lineRule="auto"/>
              <w:textAlignment w:val="auto"/>
              <w:rPr>
                <w:rFonts w:hint="eastAsia" w:ascii="宋体" w:hAnsi="宋体"/>
                <w:sz w:val="24"/>
                <w:szCs w:val="24"/>
              </w:rPr>
            </w:pPr>
            <w:r>
              <w:rPr>
                <w:rFonts w:hint="eastAsia" w:ascii="宋体" w:hAnsi="宋体"/>
                <w:sz w:val="24"/>
                <w:szCs w:val="24"/>
              </w:rPr>
              <w:t>3、</w:t>
            </w:r>
            <w:r>
              <w:rPr>
                <w:rFonts w:hint="eastAsia" w:ascii="宋体" w:hAnsi="宋体"/>
                <w:sz w:val="24"/>
                <w:szCs w:val="24"/>
                <w:lang w:eastAsia="zh-CN"/>
              </w:rPr>
              <w:t>响应供应商</w:t>
            </w:r>
            <w:r>
              <w:rPr>
                <w:rFonts w:hint="eastAsia" w:ascii="宋体" w:hAnsi="宋体"/>
                <w:sz w:val="24"/>
                <w:szCs w:val="24"/>
              </w:rPr>
              <w:t>具备职业健康安全体系认证证书的可得1分；</w:t>
            </w:r>
          </w:p>
          <w:p w14:paraId="34148ECC">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color w:val="000000"/>
                <w:sz w:val="24"/>
                <w:szCs w:val="24"/>
              </w:rPr>
            </w:pPr>
            <w:r>
              <w:rPr>
                <w:rFonts w:hint="eastAsia" w:ascii="宋体" w:hAnsi="宋体"/>
                <w:b/>
                <w:bCs/>
                <w:sz w:val="24"/>
                <w:szCs w:val="24"/>
              </w:rPr>
              <w:t>注：</w:t>
            </w:r>
            <w:r>
              <w:rPr>
                <w:rFonts w:hint="eastAsia" w:ascii="宋体" w:hAnsi="宋体"/>
                <w:b/>
                <w:bCs/>
                <w:sz w:val="24"/>
                <w:szCs w:val="24"/>
                <w:lang w:val="en-US" w:eastAsia="zh-CN"/>
              </w:rPr>
              <w:t>①</w:t>
            </w:r>
            <w:r>
              <w:rPr>
                <w:rFonts w:hint="eastAsia" w:ascii="宋体" w:hAnsi="宋体" w:cs="宋体"/>
                <w:b/>
                <w:bCs/>
                <w:sz w:val="24"/>
                <w:szCs w:val="24"/>
              </w:rPr>
              <w:t>需提供证书复印件加盖公章以及在全国认证认可信息公共服务平台上http://cx.cnca.cn查询结果的截图证明加盖公章，证书范围必须与项目相关，未按要求提供的不得分。</w:t>
            </w:r>
            <w:r>
              <w:rPr>
                <w:rFonts w:hint="eastAsia" w:asciiTheme="minorEastAsia" w:hAnsiTheme="minorEastAsia" w:eastAsiaTheme="minorEastAsia" w:cstheme="minorEastAsia"/>
                <w:b/>
                <w:bCs/>
                <w:sz w:val="24"/>
                <w:szCs w:val="24"/>
                <w:highlight w:val="none"/>
                <w:lang w:val="en-US" w:eastAsia="zh-CN"/>
              </w:rPr>
              <w:t>②新成立企业如因成立时间不足三个月而未能获取上述证书的，且响应供应商能提供方案或管理措施的，可对应得分。</w:t>
            </w:r>
          </w:p>
        </w:tc>
      </w:tr>
      <w:tr w14:paraId="6AC85BA3">
        <w:tblPrEx>
          <w:tblCellMar>
            <w:top w:w="0" w:type="dxa"/>
            <w:left w:w="108" w:type="dxa"/>
            <w:bottom w:w="0" w:type="dxa"/>
            <w:right w:w="108" w:type="dxa"/>
          </w:tblCellMar>
        </w:tblPrEx>
        <w:trPr>
          <w:trHeight w:val="414" w:hRule="atLeast"/>
          <w:jc w:val="center"/>
        </w:trPr>
        <w:tc>
          <w:tcPr>
            <w:tcW w:w="415" w:type="pct"/>
            <w:tcBorders>
              <w:top w:val="single" w:color="auto" w:sz="6" w:space="0"/>
              <w:left w:val="single" w:color="auto" w:sz="8" w:space="0"/>
              <w:bottom w:val="single" w:color="auto" w:sz="6" w:space="0"/>
              <w:right w:val="single" w:color="auto" w:sz="6" w:space="0"/>
            </w:tcBorders>
            <w:vAlign w:val="center"/>
          </w:tcPr>
          <w:p w14:paraId="60F6BB9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33" w:type="dxa"/>
            <w:tcBorders>
              <w:top w:val="single" w:color="auto" w:sz="6" w:space="0"/>
              <w:left w:val="single" w:color="auto" w:sz="6" w:space="0"/>
              <w:bottom w:val="single" w:color="auto" w:sz="6" w:space="0"/>
              <w:right w:val="single" w:color="auto" w:sz="6" w:space="0"/>
            </w:tcBorders>
            <w:vAlign w:val="center"/>
          </w:tcPr>
          <w:p w14:paraId="39896F7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cs="宋体"/>
                <w:sz w:val="24"/>
                <w:szCs w:val="24"/>
              </w:rPr>
            </w:pPr>
            <w:r>
              <w:rPr>
                <w:rFonts w:hint="eastAsia" w:ascii="宋体" w:hAnsi="宋体" w:cs="宋体"/>
                <w:sz w:val="24"/>
                <w:szCs w:val="24"/>
              </w:rPr>
              <w:t>施工队伍综合素质评价</w:t>
            </w:r>
          </w:p>
          <w:p w14:paraId="0290A515">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snapToGrid w:val="0"/>
                <w:color w:val="000000"/>
                <w:kern w:val="0"/>
                <w:sz w:val="24"/>
                <w:szCs w:val="24"/>
              </w:rPr>
            </w:pPr>
          </w:p>
        </w:tc>
        <w:tc>
          <w:tcPr>
            <w:tcW w:w="851" w:type="dxa"/>
            <w:tcBorders>
              <w:top w:val="single" w:color="auto" w:sz="6" w:space="0"/>
              <w:left w:val="single" w:color="auto" w:sz="6" w:space="0"/>
              <w:bottom w:val="single" w:color="auto" w:sz="6" w:space="0"/>
              <w:right w:val="single" w:color="auto" w:sz="6" w:space="0"/>
            </w:tcBorders>
            <w:vAlign w:val="center"/>
          </w:tcPr>
          <w:p w14:paraId="26887E85">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snapToGrid w:val="0"/>
                <w:color w:val="000000"/>
                <w:kern w:val="0"/>
                <w:sz w:val="24"/>
                <w:szCs w:val="24"/>
              </w:rPr>
            </w:pPr>
            <w:r>
              <w:rPr>
                <w:rFonts w:hint="eastAsia" w:ascii="宋体" w:cs="宋体"/>
                <w:sz w:val="24"/>
                <w:szCs w:val="24"/>
              </w:rPr>
              <w:t>10</w:t>
            </w:r>
            <w:r>
              <w:rPr>
                <w:rFonts w:hint="eastAsia" w:ascii="宋体" w:hAnsi="宋体"/>
                <w:sz w:val="24"/>
                <w:szCs w:val="24"/>
              </w:rPr>
              <w:t>分</w:t>
            </w:r>
          </w:p>
        </w:tc>
        <w:tc>
          <w:tcPr>
            <w:tcW w:w="6451" w:type="dxa"/>
            <w:tcBorders>
              <w:top w:val="single" w:color="auto" w:sz="6" w:space="0"/>
              <w:left w:val="single" w:color="auto" w:sz="6" w:space="0"/>
              <w:bottom w:val="single" w:color="auto" w:sz="6" w:space="0"/>
              <w:right w:val="single" w:color="auto" w:sz="6" w:space="0"/>
            </w:tcBorders>
            <w:vAlign w:val="center"/>
          </w:tcPr>
          <w:p w14:paraId="73EFF2F0">
            <w:pPr>
              <w:pStyle w:val="59"/>
              <w:keepNext w:val="0"/>
              <w:keepLines w:val="0"/>
              <w:pageBreakBefore w:val="0"/>
              <w:kinsoku/>
              <w:wordWrap/>
              <w:overflowPunct/>
              <w:topLinePunct w:val="0"/>
              <w:autoSpaceDE/>
              <w:autoSpaceDN/>
              <w:bidi w:val="0"/>
              <w:spacing w:line="360" w:lineRule="auto"/>
              <w:textAlignment w:val="auto"/>
              <w:rPr>
                <w:rFonts w:hint="eastAsia" w:ascii="宋体" w:hAnsi="宋体"/>
                <w:sz w:val="24"/>
                <w:szCs w:val="24"/>
              </w:rPr>
            </w:pPr>
            <w:r>
              <w:rPr>
                <w:rFonts w:hint="eastAsia" w:ascii="宋体" w:hAnsi="宋体"/>
                <w:sz w:val="24"/>
                <w:szCs w:val="24"/>
              </w:rPr>
              <w:t>委派负责本项目的现场主要管理人员(包括①施工员②安全员③质量员④材料员⑤资料员等)</w:t>
            </w:r>
            <w:r>
              <w:rPr>
                <w:rFonts w:hint="eastAsia" w:ascii="宋体" w:hAnsi="宋体"/>
                <w:sz w:val="24"/>
                <w:szCs w:val="24"/>
                <w:lang w:val="en-US" w:eastAsia="zh-CN"/>
              </w:rPr>
              <w:t>具有相关</w:t>
            </w:r>
            <w:r>
              <w:rPr>
                <w:rFonts w:hint="eastAsia" w:ascii="宋体" w:hAnsi="宋体"/>
                <w:sz w:val="24"/>
                <w:szCs w:val="24"/>
              </w:rPr>
              <w:t>资格证书（注册证书或上岗证）每提供一类人员得 2分，最高得 10分。</w:t>
            </w:r>
          </w:p>
          <w:p w14:paraId="48D96CDA">
            <w:pPr>
              <w:pStyle w:val="59"/>
              <w:keepNext w:val="0"/>
              <w:keepLines w:val="0"/>
              <w:pageBreakBefore w:val="0"/>
              <w:kinsoku/>
              <w:wordWrap/>
              <w:overflowPunct/>
              <w:topLinePunct w:val="0"/>
              <w:autoSpaceDE/>
              <w:autoSpaceDN/>
              <w:bidi w:val="0"/>
              <w:spacing w:line="360" w:lineRule="auto"/>
              <w:textAlignment w:val="auto"/>
              <w:rPr>
                <w:rFonts w:hint="eastAsia" w:ascii="宋体" w:hAnsi="宋体"/>
                <w:sz w:val="24"/>
                <w:szCs w:val="24"/>
              </w:rPr>
            </w:pPr>
            <w:r>
              <w:rPr>
                <w:rFonts w:hint="eastAsia" w:ascii="宋体" w:hAnsi="宋体"/>
                <w:b/>
                <w:bCs/>
                <w:sz w:val="24"/>
                <w:szCs w:val="24"/>
                <w:lang w:val="en-US" w:eastAsia="zh-CN"/>
              </w:rPr>
              <w:t>注：同一人员不可重复得分。提供相关证书复印件</w:t>
            </w:r>
            <w:r>
              <w:rPr>
                <w:rFonts w:hint="eastAsia" w:ascii="宋体" w:hAnsi="宋体"/>
                <w:b/>
                <w:bCs/>
                <w:sz w:val="24"/>
                <w:szCs w:val="24"/>
              </w:rPr>
              <w:t>及最近半年内任意一个月的社保证明复印件，无或未按要求提供证明材料的不得分。</w:t>
            </w:r>
          </w:p>
        </w:tc>
      </w:tr>
      <w:tr w14:paraId="34130788">
        <w:tblPrEx>
          <w:tblCellMar>
            <w:top w:w="0" w:type="dxa"/>
            <w:left w:w="108" w:type="dxa"/>
            <w:bottom w:w="0" w:type="dxa"/>
            <w:right w:w="108" w:type="dxa"/>
          </w:tblCellMar>
        </w:tblPrEx>
        <w:trPr>
          <w:trHeight w:val="542" w:hRule="atLeast"/>
          <w:jc w:val="center"/>
        </w:trPr>
        <w:tc>
          <w:tcPr>
            <w:tcW w:w="1335" w:type="pct"/>
            <w:gridSpan w:val="2"/>
            <w:tcBorders>
              <w:top w:val="single" w:color="auto" w:sz="4" w:space="0"/>
              <w:left w:val="single" w:color="auto" w:sz="4" w:space="0"/>
              <w:bottom w:val="single" w:color="auto" w:sz="4" w:space="0"/>
              <w:right w:val="single" w:color="auto" w:sz="4" w:space="0"/>
            </w:tcBorders>
            <w:vAlign w:val="center"/>
          </w:tcPr>
          <w:p w14:paraId="37ADB72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合计</w:t>
            </w:r>
          </w:p>
        </w:tc>
        <w:tc>
          <w:tcPr>
            <w:tcW w:w="427" w:type="pct"/>
            <w:tcBorders>
              <w:top w:val="single" w:color="auto" w:sz="4" w:space="0"/>
              <w:left w:val="nil"/>
              <w:bottom w:val="single" w:color="auto" w:sz="4" w:space="0"/>
              <w:right w:val="single" w:color="auto" w:sz="4" w:space="0"/>
            </w:tcBorders>
            <w:vAlign w:val="center"/>
          </w:tcPr>
          <w:p w14:paraId="11414E1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分</w:t>
            </w:r>
          </w:p>
        </w:tc>
        <w:tc>
          <w:tcPr>
            <w:tcW w:w="3237" w:type="pct"/>
            <w:tcBorders>
              <w:top w:val="single" w:color="auto" w:sz="4" w:space="0"/>
              <w:left w:val="single" w:color="auto" w:sz="4" w:space="0"/>
              <w:bottom w:val="single" w:color="auto" w:sz="4" w:space="0"/>
              <w:right w:val="single" w:color="auto" w:sz="4" w:space="0"/>
            </w:tcBorders>
            <w:vAlign w:val="center"/>
          </w:tcPr>
          <w:p w14:paraId="46664C6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rPr>
            </w:pPr>
          </w:p>
        </w:tc>
      </w:tr>
    </w:tbl>
    <w:p w14:paraId="75968817">
      <w:pPr>
        <w:spacing w:line="360" w:lineRule="auto"/>
        <w:rPr>
          <w:rFonts w:hint="eastAsia" w:ascii="宋体" w:hAnsi="宋体"/>
          <w:sz w:val="24"/>
        </w:rPr>
      </w:pPr>
    </w:p>
    <w:p w14:paraId="03078904">
      <w:pPr>
        <w:spacing w:line="360" w:lineRule="auto"/>
        <w:rPr>
          <w:rFonts w:hint="eastAsia" w:ascii="宋体" w:hAnsi="宋体"/>
          <w:sz w:val="24"/>
        </w:rPr>
      </w:pPr>
    </w:p>
    <w:p w14:paraId="616762D5">
      <w:pPr>
        <w:spacing w:line="360" w:lineRule="auto"/>
        <w:rPr>
          <w:rFonts w:hint="eastAsia" w:ascii="宋体" w:hAnsi="宋体"/>
          <w:sz w:val="24"/>
        </w:rPr>
      </w:pPr>
    </w:p>
    <w:p w14:paraId="5DE29206">
      <w:pPr>
        <w:spacing w:line="360" w:lineRule="auto"/>
        <w:jc w:val="center"/>
        <w:outlineLvl w:val="0"/>
      </w:pPr>
      <w:r>
        <w:rPr>
          <w:rFonts w:ascii="宋体" w:hAnsi="宋体"/>
          <w:sz w:val="24"/>
        </w:rPr>
        <w:br w:type="page"/>
      </w:r>
      <w:bookmarkStart w:id="846" w:name="_Toc16799"/>
      <w:bookmarkStart w:id="847" w:name="_Toc21941"/>
      <w:r>
        <w:rPr>
          <w:rFonts w:hint="eastAsia" w:ascii="微软雅黑" w:hAnsi="微软雅黑" w:eastAsia="微软雅黑"/>
          <w:b/>
          <w:sz w:val="28"/>
        </w:rPr>
        <w:t xml:space="preserve">第六章 </w:t>
      </w:r>
      <w:r>
        <w:rPr>
          <w:rFonts w:hint="eastAsia" w:ascii="微软雅黑" w:hAnsi="微软雅黑" w:eastAsia="微软雅黑"/>
          <w:b/>
          <w:sz w:val="28"/>
          <w:lang w:eastAsia="zh-CN"/>
        </w:rPr>
        <w:t>响应文件</w:t>
      </w:r>
      <w:r>
        <w:rPr>
          <w:rFonts w:hint="eastAsia" w:ascii="微软雅黑" w:hAnsi="微软雅黑" w:eastAsia="微软雅黑"/>
          <w:b/>
          <w:sz w:val="28"/>
        </w:rPr>
        <w:t>格式</w:t>
      </w:r>
      <w:bookmarkEnd w:id="523"/>
      <w:bookmarkEnd w:id="846"/>
      <w:bookmarkEnd w:id="847"/>
    </w:p>
    <w:p w14:paraId="315E6CFD">
      <w:pPr>
        <w:spacing w:line="360" w:lineRule="auto"/>
        <w:outlineLvl w:val="1"/>
        <w:rPr>
          <w:rFonts w:ascii="宋体" w:hAnsi="宋体" w:cs="Tahoma"/>
          <w:b/>
          <w:sz w:val="24"/>
        </w:rPr>
      </w:pPr>
      <w:bookmarkStart w:id="848" w:name="_Toc482255097"/>
      <w:bookmarkStart w:id="849" w:name="_Toc90148938"/>
      <w:bookmarkStart w:id="850" w:name="_Toc91288864"/>
      <w:bookmarkStart w:id="851" w:name="_Toc10134"/>
      <w:bookmarkStart w:id="852" w:name="_Toc16134"/>
      <w:r>
        <w:rPr>
          <w:rFonts w:hint="eastAsia" w:ascii="宋体" w:hAnsi="宋体" w:cs="Tahoma"/>
          <w:b/>
          <w:sz w:val="24"/>
        </w:rPr>
        <w:t xml:space="preserve">附件1 </w:t>
      </w:r>
      <w:bookmarkEnd w:id="848"/>
      <w:bookmarkEnd w:id="849"/>
      <w:bookmarkEnd w:id="850"/>
      <w:r>
        <w:rPr>
          <w:rFonts w:hint="eastAsia" w:ascii="宋体" w:hAnsi="宋体" w:cs="Tahoma"/>
          <w:b/>
          <w:sz w:val="24"/>
        </w:rPr>
        <w:t>响应书</w:t>
      </w:r>
      <w:bookmarkEnd w:id="851"/>
      <w:bookmarkEnd w:id="852"/>
    </w:p>
    <w:p w14:paraId="03BB050C">
      <w:pPr>
        <w:spacing w:line="336" w:lineRule="auto"/>
        <w:rPr>
          <w:rFonts w:ascii="宋体" w:hAnsi="宋体"/>
          <w:sz w:val="24"/>
        </w:rPr>
      </w:pPr>
      <w:r>
        <w:rPr>
          <w:rFonts w:hint="eastAsia" w:ascii="宋体" w:hAnsi="宋体"/>
          <w:sz w:val="24"/>
        </w:rPr>
        <w:t>致：粤廉（广东）招标代理有限公司</w:t>
      </w:r>
    </w:p>
    <w:p w14:paraId="3A881C46">
      <w:pPr>
        <w:spacing w:line="336" w:lineRule="auto"/>
        <w:ind w:firstLine="480"/>
        <w:rPr>
          <w:rFonts w:ascii="宋体" w:hAnsi="宋体"/>
          <w:sz w:val="24"/>
        </w:rPr>
      </w:pPr>
      <w:r>
        <w:rPr>
          <w:rFonts w:hint="eastAsia" w:ascii="宋体" w:hAnsi="宋体"/>
          <w:sz w:val="24"/>
        </w:rPr>
        <w:t>根据</w:t>
      </w:r>
      <w:r>
        <w:rPr>
          <w:rFonts w:hint="eastAsia" w:ascii="宋体" w:hAnsi="宋体" w:cs="Tahoma"/>
          <w:sz w:val="24"/>
          <w:lang w:eastAsia="zh-CN"/>
        </w:rPr>
        <w:t>广东省粤东技师学院海天数智化综合实训基地改造工程</w:t>
      </w:r>
      <w:r>
        <w:rPr>
          <w:rFonts w:hint="eastAsia" w:ascii="宋体" w:hAnsi="宋体"/>
          <w:sz w:val="24"/>
        </w:rPr>
        <w:t>（项目编号：</w:t>
      </w:r>
      <w:r>
        <w:rPr>
          <w:rFonts w:hint="eastAsia" w:ascii="宋体" w:cs="Tahoma"/>
          <w:bCs/>
          <w:sz w:val="24"/>
          <w:lang w:eastAsia="zh-CN"/>
        </w:rPr>
        <w:t>YL202411248</w:t>
      </w:r>
      <w:r>
        <w:rPr>
          <w:rFonts w:hint="eastAsia" w:ascii="宋体" w:hAnsi="宋体"/>
          <w:sz w:val="24"/>
        </w:rPr>
        <w:t>）的</w:t>
      </w:r>
      <w:r>
        <w:rPr>
          <w:rFonts w:hint="eastAsia" w:ascii="宋体" w:hAnsi="宋体" w:cs="宋体"/>
          <w:sz w:val="24"/>
          <w:lang w:eastAsia="zh-CN"/>
        </w:rPr>
        <w:t>遴选文件</w:t>
      </w:r>
      <w:r>
        <w:rPr>
          <w:rFonts w:hint="eastAsia" w:ascii="宋体" w:hAnsi="宋体"/>
          <w:sz w:val="24"/>
        </w:rPr>
        <w:t>要求，</w:t>
      </w:r>
      <w:r>
        <w:rPr>
          <w:rFonts w:hint="eastAsia" w:ascii="宋体" w:hAnsi="宋体"/>
          <w:sz w:val="24"/>
          <w:u w:val="single"/>
        </w:rPr>
        <w:t>（全名及职务）</w:t>
      </w:r>
      <w:r>
        <w:rPr>
          <w:rFonts w:hint="eastAsia" w:ascii="宋体" w:hAnsi="宋体"/>
          <w:sz w:val="24"/>
        </w:rPr>
        <w:t>经正式授权并以</w:t>
      </w:r>
      <w:r>
        <w:rPr>
          <w:rFonts w:hint="eastAsia" w:ascii="宋体" w:hAnsi="宋体" w:cs="宋体"/>
          <w:sz w:val="24"/>
          <w:lang w:eastAsia="zh-CN"/>
        </w:rPr>
        <w:t>响应供应商</w:t>
      </w:r>
      <w:r>
        <w:rPr>
          <w:rFonts w:hint="eastAsia" w:ascii="宋体" w:hAnsi="宋体"/>
          <w:sz w:val="24"/>
          <w:u w:val="single"/>
        </w:rPr>
        <w:t>（</w:t>
      </w:r>
      <w:r>
        <w:rPr>
          <w:rFonts w:hint="eastAsia" w:ascii="宋体" w:hAnsi="宋体"/>
          <w:sz w:val="24"/>
          <w:u w:val="single"/>
          <w:lang w:eastAsia="zh-CN"/>
        </w:rPr>
        <w:t>响应供应商</w:t>
      </w:r>
      <w:r>
        <w:rPr>
          <w:rFonts w:hint="eastAsia" w:ascii="宋体" w:hAnsi="宋体"/>
          <w:sz w:val="24"/>
          <w:u w:val="single"/>
        </w:rPr>
        <w:t>名称、地址）</w:t>
      </w:r>
      <w:r>
        <w:rPr>
          <w:rFonts w:hint="eastAsia" w:ascii="宋体" w:hAnsi="宋体"/>
          <w:sz w:val="24"/>
        </w:rPr>
        <w:t>的名义</w:t>
      </w:r>
      <w:r>
        <w:rPr>
          <w:rFonts w:hint="eastAsia" w:ascii="宋体" w:hAnsi="宋体"/>
          <w:sz w:val="24"/>
          <w:lang w:eastAsia="zh-CN"/>
        </w:rPr>
        <w:t>响应</w:t>
      </w:r>
      <w:r>
        <w:rPr>
          <w:rFonts w:hint="eastAsia" w:ascii="宋体" w:hAnsi="宋体"/>
          <w:sz w:val="24"/>
        </w:rPr>
        <w:t>。签字代表在此声明并同意：</w:t>
      </w:r>
    </w:p>
    <w:p w14:paraId="1C37A32A">
      <w:pPr>
        <w:numPr>
          <w:ilvl w:val="0"/>
          <w:numId w:val="5"/>
        </w:numPr>
        <w:tabs>
          <w:tab w:val="left" w:pos="1838"/>
        </w:tabs>
        <w:spacing w:line="336" w:lineRule="auto"/>
        <w:ind w:left="840" w:hanging="315"/>
        <w:rPr>
          <w:rFonts w:ascii="宋体" w:hAnsi="宋体"/>
          <w:sz w:val="24"/>
        </w:rPr>
      </w:pPr>
      <w:r>
        <w:rPr>
          <w:rFonts w:hint="eastAsia" w:ascii="宋体" w:hAnsi="宋体"/>
          <w:sz w:val="24"/>
        </w:rPr>
        <w:t>我们愿意遵守</w:t>
      </w:r>
      <w:r>
        <w:rPr>
          <w:rFonts w:hint="eastAsia" w:ascii="宋体" w:hAnsi="宋体" w:cs="宋体"/>
          <w:sz w:val="24"/>
          <w:lang w:eastAsia="zh-CN"/>
        </w:rPr>
        <w:t>遴选文件</w:t>
      </w:r>
      <w:r>
        <w:rPr>
          <w:rFonts w:hint="eastAsia" w:ascii="宋体" w:hAnsi="宋体"/>
          <w:sz w:val="24"/>
        </w:rPr>
        <w:t>的各项规定，自愿参加</w:t>
      </w:r>
      <w:r>
        <w:rPr>
          <w:rFonts w:hint="eastAsia" w:ascii="宋体" w:hAnsi="宋体"/>
          <w:sz w:val="24"/>
          <w:lang w:eastAsia="zh-CN"/>
        </w:rPr>
        <w:t>响应</w:t>
      </w:r>
      <w:r>
        <w:rPr>
          <w:rFonts w:ascii="宋体" w:hAnsi="宋体"/>
          <w:sz w:val="24"/>
        </w:rPr>
        <w:t>,</w:t>
      </w:r>
      <w:r>
        <w:rPr>
          <w:rFonts w:hint="eastAsia" w:ascii="宋体" w:hAnsi="宋体"/>
          <w:sz w:val="24"/>
        </w:rPr>
        <w:t>并已清楚</w:t>
      </w:r>
      <w:r>
        <w:rPr>
          <w:rFonts w:hint="eastAsia" w:ascii="宋体" w:hAnsi="宋体" w:cs="宋体"/>
          <w:sz w:val="24"/>
          <w:lang w:eastAsia="zh-CN"/>
        </w:rPr>
        <w:t>遴选文件</w:t>
      </w:r>
      <w:r>
        <w:rPr>
          <w:rFonts w:hint="eastAsia" w:ascii="宋体" w:hAnsi="宋体"/>
          <w:sz w:val="24"/>
        </w:rPr>
        <w:t>的要求及有关文件规定，并严格按照</w:t>
      </w:r>
      <w:r>
        <w:rPr>
          <w:rFonts w:hint="eastAsia" w:ascii="宋体" w:hAnsi="宋体" w:cs="宋体"/>
          <w:sz w:val="24"/>
          <w:lang w:eastAsia="zh-CN"/>
        </w:rPr>
        <w:t>遴选文件</w:t>
      </w:r>
      <w:r>
        <w:rPr>
          <w:rFonts w:hint="eastAsia" w:ascii="宋体" w:hAnsi="宋体"/>
          <w:sz w:val="24"/>
        </w:rPr>
        <w:t>的规定履行全部责任和义务。</w:t>
      </w:r>
    </w:p>
    <w:p w14:paraId="1F223ABA">
      <w:pPr>
        <w:numPr>
          <w:ilvl w:val="0"/>
          <w:numId w:val="5"/>
        </w:numPr>
        <w:tabs>
          <w:tab w:val="left" w:pos="1838"/>
        </w:tabs>
        <w:spacing w:line="336" w:lineRule="auto"/>
        <w:ind w:left="840" w:hanging="315"/>
        <w:rPr>
          <w:rFonts w:ascii="宋体" w:hAnsi="宋体"/>
          <w:sz w:val="24"/>
        </w:rPr>
      </w:pPr>
      <w:r>
        <w:rPr>
          <w:rFonts w:hint="eastAsia" w:ascii="宋体" w:hAnsi="宋体"/>
          <w:sz w:val="24"/>
        </w:rPr>
        <w:t>我们同意本</w:t>
      </w:r>
      <w:r>
        <w:rPr>
          <w:rFonts w:hint="eastAsia" w:ascii="宋体" w:hAnsi="宋体"/>
          <w:sz w:val="24"/>
          <w:lang w:eastAsia="zh-CN"/>
        </w:rPr>
        <w:t>响应</w:t>
      </w:r>
      <w:r>
        <w:rPr>
          <w:rFonts w:hint="eastAsia" w:ascii="宋体" w:hAnsi="宋体"/>
          <w:sz w:val="24"/>
        </w:rPr>
        <w:t>自</w:t>
      </w:r>
      <w:r>
        <w:rPr>
          <w:rFonts w:hint="eastAsia" w:ascii="宋体" w:hAnsi="宋体"/>
          <w:sz w:val="24"/>
          <w:lang w:eastAsia="zh-CN"/>
        </w:rPr>
        <w:t>响应</w:t>
      </w:r>
      <w:r>
        <w:rPr>
          <w:rFonts w:hint="eastAsia" w:ascii="宋体" w:hAnsi="宋体"/>
          <w:sz w:val="24"/>
        </w:rPr>
        <w:t>截止之日起90天内有效。如果我们的</w:t>
      </w:r>
      <w:r>
        <w:rPr>
          <w:rFonts w:hint="eastAsia" w:ascii="宋体" w:hAnsi="宋体"/>
          <w:sz w:val="24"/>
          <w:lang w:eastAsia="zh-CN"/>
        </w:rPr>
        <w:t>响应</w:t>
      </w:r>
      <w:r>
        <w:rPr>
          <w:rFonts w:hint="eastAsia" w:ascii="宋体" w:hAnsi="宋体"/>
          <w:sz w:val="24"/>
        </w:rPr>
        <w:t>被接受，则直至合同生效时止，本</w:t>
      </w:r>
      <w:r>
        <w:rPr>
          <w:rFonts w:hint="eastAsia" w:ascii="宋体" w:hAnsi="宋体"/>
          <w:sz w:val="24"/>
          <w:lang w:eastAsia="zh-CN"/>
        </w:rPr>
        <w:t>响应</w:t>
      </w:r>
      <w:r>
        <w:rPr>
          <w:rFonts w:hint="eastAsia" w:ascii="宋体" w:hAnsi="宋体"/>
          <w:sz w:val="24"/>
        </w:rPr>
        <w:t>始终有效。</w:t>
      </w:r>
    </w:p>
    <w:p w14:paraId="708C3292">
      <w:pPr>
        <w:numPr>
          <w:ilvl w:val="0"/>
          <w:numId w:val="5"/>
        </w:numPr>
        <w:tabs>
          <w:tab w:val="left" w:pos="1838"/>
        </w:tabs>
        <w:spacing w:line="336" w:lineRule="auto"/>
        <w:ind w:left="840" w:hanging="315"/>
        <w:rPr>
          <w:rFonts w:ascii="宋体" w:hAnsi="宋体"/>
          <w:sz w:val="24"/>
        </w:rPr>
      </w:pPr>
      <w:r>
        <w:rPr>
          <w:rFonts w:hint="eastAsia" w:ascii="宋体" w:hAnsi="宋体"/>
          <w:sz w:val="24"/>
        </w:rPr>
        <w:t>我们已经详细地阅读并完全明白了全部</w:t>
      </w:r>
      <w:r>
        <w:rPr>
          <w:rFonts w:hint="eastAsia" w:ascii="宋体" w:hAnsi="宋体" w:cs="宋体"/>
          <w:sz w:val="24"/>
          <w:lang w:eastAsia="zh-CN"/>
        </w:rPr>
        <w:t>遴选文件</w:t>
      </w:r>
      <w:r>
        <w:rPr>
          <w:rFonts w:hint="eastAsia" w:ascii="宋体" w:hAnsi="宋体"/>
          <w:sz w:val="24"/>
        </w:rPr>
        <w:t>及附件，包括澄清（如有）及参考文件，我们完全理解本</w:t>
      </w:r>
      <w:r>
        <w:rPr>
          <w:rFonts w:hint="eastAsia" w:ascii="宋体" w:hAnsi="宋体" w:cs="宋体"/>
          <w:sz w:val="24"/>
          <w:lang w:eastAsia="zh-CN"/>
        </w:rPr>
        <w:t>遴选文件</w:t>
      </w:r>
      <w:r>
        <w:rPr>
          <w:rFonts w:hint="eastAsia" w:ascii="宋体" w:hAnsi="宋体"/>
          <w:sz w:val="24"/>
        </w:rPr>
        <w:t>的要求，我们同意放弃对</w:t>
      </w:r>
      <w:r>
        <w:rPr>
          <w:rFonts w:hint="eastAsia" w:ascii="宋体" w:hAnsi="宋体" w:cs="宋体"/>
          <w:sz w:val="24"/>
          <w:lang w:eastAsia="zh-CN"/>
        </w:rPr>
        <w:t>遴选文件</w:t>
      </w:r>
      <w:r>
        <w:rPr>
          <w:rFonts w:hint="eastAsia" w:ascii="宋体" w:hAnsi="宋体"/>
          <w:sz w:val="24"/>
        </w:rPr>
        <w:t>提出不明或误解的一切权力。</w:t>
      </w:r>
    </w:p>
    <w:p w14:paraId="1AAB0457">
      <w:pPr>
        <w:numPr>
          <w:ilvl w:val="0"/>
          <w:numId w:val="5"/>
        </w:numPr>
        <w:tabs>
          <w:tab w:val="left" w:pos="1838"/>
        </w:tabs>
        <w:spacing w:line="336" w:lineRule="auto"/>
        <w:ind w:left="840" w:hanging="315"/>
        <w:rPr>
          <w:rFonts w:ascii="宋体" w:hAnsi="宋体"/>
          <w:sz w:val="24"/>
        </w:rPr>
      </w:pPr>
      <w:r>
        <w:rPr>
          <w:rFonts w:hint="eastAsia" w:ascii="宋体" w:hAnsi="宋体"/>
          <w:sz w:val="24"/>
        </w:rPr>
        <w:t>我们同意提供</w:t>
      </w:r>
      <w:r>
        <w:rPr>
          <w:rFonts w:hint="eastAsia" w:ascii="宋体" w:hAnsi="宋体"/>
          <w:sz w:val="24"/>
          <w:lang w:eastAsia="zh-CN"/>
        </w:rPr>
        <w:t>遴选服务单位</w:t>
      </w:r>
      <w:r>
        <w:rPr>
          <w:rFonts w:hint="eastAsia" w:ascii="宋体" w:hAnsi="宋体"/>
          <w:sz w:val="24"/>
        </w:rPr>
        <w:t>与评审小组要求的有关</w:t>
      </w:r>
      <w:r>
        <w:rPr>
          <w:rFonts w:hint="eastAsia" w:ascii="宋体" w:hAnsi="宋体"/>
          <w:sz w:val="24"/>
          <w:lang w:eastAsia="zh-CN"/>
        </w:rPr>
        <w:t>响应</w:t>
      </w:r>
      <w:r>
        <w:rPr>
          <w:rFonts w:hint="eastAsia" w:ascii="宋体" w:hAnsi="宋体"/>
          <w:sz w:val="24"/>
        </w:rPr>
        <w:t>的一切数据或资料。</w:t>
      </w:r>
    </w:p>
    <w:p w14:paraId="051857AA">
      <w:pPr>
        <w:numPr>
          <w:ilvl w:val="0"/>
          <w:numId w:val="5"/>
        </w:numPr>
        <w:tabs>
          <w:tab w:val="left" w:pos="1838"/>
        </w:tabs>
        <w:spacing w:line="336" w:lineRule="auto"/>
        <w:ind w:left="840" w:hanging="315"/>
        <w:rPr>
          <w:rFonts w:ascii="宋体" w:hAnsi="宋体"/>
          <w:sz w:val="24"/>
        </w:rPr>
      </w:pPr>
      <w:r>
        <w:rPr>
          <w:rFonts w:hint="eastAsia" w:ascii="宋体" w:hAnsi="宋体"/>
          <w:sz w:val="24"/>
        </w:rPr>
        <w:t>如果我们未对</w:t>
      </w:r>
      <w:r>
        <w:rPr>
          <w:rFonts w:hint="eastAsia" w:ascii="宋体" w:hAnsi="宋体" w:cs="宋体"/>
          <w:sz w:val="24"/>
          <w:lang w:eastAsia="zh-CN"/>
        </w:rPr>
        <w:t>遴选文件</w:t>
      </w:r>
      <w:r>
        <w:rPr>
          <w:rFonts w:hint="eastAsia" w:ascii="宋体" w:hAnsi="宋体"/>
          <w:sz w:val="24"/>
        </w:rPr>
        <w:t>全部要求做出实质性响应，则完全同意并接受按无效</w:t>
      </w:r>
      <w:r>
        <w:rPr>
          <w:rFonts w:hint="eastAsia" w:ascii="宋体" w:hAnsi="宋体"/>
          <w:sz w:val="24"/>
          <w:lang w:eastAsia="zh-CN"/>
        </w:rPr>
        <w:t>响应</w:t>
      </w:r>
      <w:r>
        <w:rPr>
          <w:rFonts w:hint="eastAsia" w:ascii="宋体" w:hAnsi="宋体"/>
          <w:sz w:val="24"/>
        </w:rPr>
        <w:t>处理。</w:t>
      </w:r>
    </w:p>
    <w:p w14:paraId="21C50D66">
      <w:pPr>
        <w:numPr>
          <w:ilvl w:val="0"/>
          <w:numId w:val="5"/>
        </w:numPr>
        <w:tabs>
          <w:tab w:val="left" w:pos="1838"/>
        </w:tabs>
        <w:spacing w:line="336" w:lineRule="auto"/>
        <w:ind w:left="840" w:hanging="315"/>
        <w:rPr>
          <w:rFonts w:ascii="宋体" w:hAnsi="宋体"/>
          <w:sz w:val="24"/>
        </w:rPr>
      </w:pPr>
      <w:r>
        <w:rPr>
          <w:rFonts w:hint="eastAsia" w:ascii="宋体" w:hAnsi="宋体"/>
          <w:sz w:val="24"/>
        </w:rPr>
        <w:t>我们在</w:t>
      </w:r>
      <w:r>
        <w:rPr>
          <w:rFonts w:hint="eastAsia" w:ascii="宋体" w:hAnsi="宋体"/>
          <w:sz w:val="24"/>
          <w:lang w:eastAsia="zh-CN"/>
        </w:rPr>
        <w:t>响应</w:t>
      </w:r>
      <w:r>
        <w:rPr>
          <w:rFonts w:hint="eastAsia" w:ascii="宋体" w:hAnsi="宋体"/>
          <w:sz w:val="24"/>
        </w:rPr>
        <w:t>时已明确获知采购人有权根据实际情况，调整合同中规定的相关内容，在此我们承诺，如果我们获得</w:t>
      </w:r>
      <w:r>
        <w:rPr>
          <w:rFonts w:hint="eastAsia" w:ascii="宋体" w:hAnsi="宋体"/>
          <w:sz w:val="24"/>
          <w:lang w:eastAsia="zh-CN"/>
        </w:rPr>
        <w:t>成交</w:t>
      </w:r>
      <w:r>
        <w:rPr>
          <w:rFonts w:hint="eastAsia" w:ascii="宋体" w:hAnsi="宋体"/>
          <w:sz w:val="24"/>
        </w:rPr>
        <w:t>资格，将无条件接受采购人的调整方案。</w:t>
      </w:r>
    </w:p>
    <w:p w14:paraId="5B308602">
      <w:pPr>
        <w:numPr>
          <w:ilvl w:val="0"/>
          <w:numId w:val="5"/>
        </w:numPr>
        <w:tabs>
          <w:tab w:val="left" w:pos="1838"/>
        </w:tabs>
        <w:spacing w:line="336" w:lineRule="auto"/>
        <w:ind w:left="840" w:hanging="315"/>
        <w:rPr>
          <w:rFonts w:ascii="宋体" w:hAnsi="宋体"/>
          <w:sz w:val="24"/>
        </w:rPr>
      </w:pPr>
      <w:r>
        <w:rPr>
          <w:rFonts w:hint="eastAsia" w:ascii="宋体" w:hAnsi="宋体"/>
          <w:sz w:val="24"/>
        </w:rPr>
        <w:t>我们证明提交的一切文件，无论是原件还是复印件均为准确、真实、有效、完整的，绝无任何虚假、伪造或者夸大。我们在此郑重承诺：在本次采购活动中，如有违法、违规、弄虚作假行为，所造成的损失、不良后果及法律责任，一律由我公司（企业）承担。</w:t>
      </w:r>
    </w:p>
    <w:p w14:paraId="2D4C38E8">
      <w:pPr>
        <w:numPr>
          <w:ilvl w:val="0"/>
          <w:numId w:val="5"/>
        </w:numPr>
        <w:tabs>
          <w:tab w:val="left" w:pos="945"/>
          <w:tab w:val="left" w:pos="1838"/>
        </w:tabs>
        <w:spacing w:line="336" w:lineRule="auto"/>
        <w:ind w:left="840" w:hanging="315"/>
        <w:rPr>
          <w:rFonts w:ascii="宋体" w:hAnsi="宋体"/>
          <w:sz w:val="24"/>
        </w:rPr>
      </w:pPr>
      <w:r>
        <w:rPr>
          <w:rFonts w:hint="eastAsia" w:ascii="宋体" w:hAnsi="宋体"/>
          <w:sz w:val="24"/>
        </w:rPr>
        <w:t>我们是依法注册的法人，在法律、财务及运作上完全独立于（采购人）和粤廉（广东）招标代理有限公司（</w:t>
      </w:r>
      <w:r>
        <w:rPr>
          <w:rFonts w:hint="eastAsia" w:ascii="宋体" w:hAnsi="宋体"/>
          <w:sz w:val="24"/>
          <w:lang w:eastAsia="zh-CN"/>
        </w:rPr>
        <w:t>遴选服务单位</w:t>
      </w:r>
      <w:r>
        <w:rPr>
          <w:rFonts w:hint="eastAsia" w:ascii="宋体" w:hAnsi="宋体"/>
          <w:sz w:val="24"/>
        </w:rPr>
        <w:t>）。</w:t>
      </w:r>
    </w:p>
    <w:p w14:paraId="79DA5796">
      <w:pPr>
        <w:numPr>
          <w:ilvl w:val="0"/>
          <w:numId w:val="5"/>
        </w:numPr>
        <w:tabs>
          <w:tab w:val="left" w:pos="945"/>
          <w:tab w:val="left" w:pos="1838"/>
        </w:tabs>
        <w:spacing w:line="336" w:lineRule="auto"/>
        <w:ind w:left="840" w:hanging="315"/>
        <w:rPr>
          <w:rFonts w:ascii="宋体" w:hAnsi="宋体"/>
          <w:sz w:val="24"/>
        </w:rPr>
      </w:pPr>
      <w:r>
        <w:rPr>
          <w:rFonts w:hint="eastAsia" w:ascii="宋体" w:hAnsi="宋体"/>
          <w:sz w:val="24"/>
        </w:rPr>
        <w:t>所有有关本次</w:t>
      </w:r>
      <w:r>
        <w:rPr>
          <w:rFonts w:hint="eastAsia" w:ascii="宋体" w:hAnsi="宋体"/>
          <w:sz w:val="24"/>
          <w:lang w:eastAsia="zh-CN"/>
        </w:rPr>
        <w:t>响应</w:t>
      </w:r>
      <w:r>
        <w:rPr>
          <w:rFonts w:hint="eastAsia" w:ascii="宋体" w:hAnsi="宋体"/>
          <w:sz w:val="24"/>
        </w:rPr>
        <w:t>的函电请寄：</w:t>
      </w:r>
      <w:r>
        <w:rPr>
          <w:rFonts w:hint="eastAsia" w:ascii="宋体" w:hAnsi="宋体"/>
          <w:sz w:val="24"/>
          <w:u w:val="single"/>
        </w:rPr>
        <w:t xml:space="preserve">  （</w:t>
      </w:r>
      <w:r>
        <w:rPr>
          <w:rFonts w:hint="eastAsia" w:ascii="宋体" w:hAnsi="宋体"/>
          <w:sz w:val="24"/>
          <w:u w:val="single"/>
          <w:lang w:eastAsia="zh-CN"/>
        </w:rPr>
        <w:t>响应供应商</w:t>
      </w:r>
      <w:r>
        <w:rPr>
          <w:rFonts w:hint="eastAsia" w:ascii="宋体" w:hAnsi="宋体"/>
          <w:sz w:val="24"/>
          <w:u w:val="single"/>
        </w:rPr>
        <w:t xml:space="preserve">地址）    </w:t>
      </w:r>
    </w:p>
    <w:p w14:paraId="17592C01">
      <w:pPr>
        <w:tabs>
          <w:tab w:val="left" w:pos="840"/>
          <w:tab w:val="left" w:pos="945"/>
        </w:tabs>
        <w:spacing w:line="336" w:lineRule="auto"/>
        <w:ind w:left="840"/>
        <w:rPr>
          <w:rFonts w:ascii="宋体" w:hAnsi="宋体"/>
          <w:b/>
          <w:sz w:val="24"/>
        </w:rPr>
      </w:pPr>
      <w:r>
        <w:rPr>
          <w:rFonts w:hint="eastAsia" w:ascii="宋体" w:hAnsi="宋体"/>
          <w:b/>
          <w:sz w:val="24"/>
        </w:rPr>
        <w:t>说明：本响应书内容不得擅自删改。</w:t>
      </w:r>
    </w:p>
    <w:p w14:paraId="731FBFAB">
      <w:pPr>
        <w:spacing w:line="336" w:lineRule="auto"/>
        <w:ind w:firstLine="480"/>
        <w:rPr>
          <w:rFonts w:ascii="宋体" w:hAnsi="宋体"/>
          <w:sz w:val="24"/>
        </w:rPr>
      </w:pPr>
    </w:p>
    <w:p w14:paraId="34ED50CB">
      <w:pPr>
        <w:spacing w:line="336" w:lineRule="auto"/>
        <w:ind w:firstLine="480"/>
        <w:rPr>
          <w:rFonts w:ascii="宋体" w:hAnsi="宋体"/>
          <w:sz w:val="24"/>
        </w:rPr>
      </w:pPr>
      <w:r>
        <w:rPr>
          <w:rFonts w:hint="eastAsia" w:ascii="宋体" w:hAnsi="宋体"/>
          <w:sz w:val="24"/>
          <w:lang w:eastAsia="zh-CN"/>
        </w:rPr>
        <w:t>响应供应商</w:t>
      </w:r>
      <w:r>
        <w:rPr>
          <w:rFonts w:hint="eastAsia" w:ascii="宋体" w:hAnsi="宋体"/>
          <w:sz w:val="24"/>
        </w:rPr>
        <w:t>全称（盖公章）：</w:t>
      </w:r>
    </w:p>
    <w:p w14:paraId="486A8043">
      <w:pPr>
        <w:spacing w:line="336" w:lineRule="auto"/>
        <w:ind w:firstLine="480"/>
        <w:rPr>
          <w:rFonts w:ascii="宋体" w:hAnsi="宋体"/>
          <w:sz w:val="24"/>
        </w:rPr>
      </w:pPr>
      <w:r>
        <w:rPr>
          <w:rFonts w:hint="eastAsia" w:ascii="宋体" w:hAnsi="宋体"/>
          <w:sz w:val="24"/>
        </w:rPr>
        <w:t>法定代表人或授权代表（签名或盖章）：</w:t>
      </w:r>
    </w:p>
    <w:p w14:paraId="7E04D987">
      <w:pPr>
        <w:spacing w:line="336" w:lineRule="auto"/>
        <w:ind w:firstLine="480"/>
        <w:rPr>
          <w:rFonts w:ascii="宋体" w:hAnsi="宋体"/>
          <w:sz w:val="24"/>
        </w:rPr>
      </w:pPr>
      <w:r>
        <w:rPr>
          <w:rFonts w:hint="eastAsia" w:ascii="宋体" w:hAnsi="宋体"/>
          <w:sz w:val="24"/>
        </w:rPr>
        <w:t xml:space="preserve">日    期：     年   月   日     </w:t>
      </w:r>
    </w:p>
    <w:p w14:paraId="52957060">
      <w:pPr>
        <w:spacing w:line="360" w:lineRule="auto"/>
        <w:outlineLvl w:val="1"/>
        <w:rPr>
          <w:szCs w:val="28"/>
        </w:rPr>
      </w:pPr>
      <w:bookmarkStart w:id="853" w:name="_Toc482255104"/>
      <w:r>
        <w:rPr>
          <w:sz w:val="28"/>
          <w:szCs w:val="28"/>
        </w:rPr>
        <w:br w:type="page"/>
      </w:r>
      <w:bookmarkStart w:id="854" w:name="_Toc25640"/>
      <w:bookmarkStart w:id="855" w:name="_Toc21274"/>
      <w:bookmarkStart w:id="856" w:name="_Toc90148939"/>
      <w:bookmarkStart w:id="857" w:name="_Toc91288865"/>
      <w:r>
        <w:rPr>
          <w:rFonts w:hint="eastAsia" w:ascii="宋体" w:hAnsi="宋体" w:cs="Tahoma"/>
          <w:b/>
          <w:sz w:val="24"/>
        </w:rPr>
        <w:t xml:space="preserve">附件2 </w:t>
      </w:r>
      <w:r>
        <w:rPr>
          <w:rFonts w:hint="eastAsia" w:ascii="宋体" w:hAnsi="宋体" w:cs="Tahoma"/>
          <w:b/>
          <w:sz w:val="24"/>
          <w:lang w:eastAsia="zh-CN"/>
        </w:rPr>
        <w:t>响应供应商</w:t>
      </w:r>
      <w:r>
        <w:rPr>
          <w:rFonts w:hint="eastAsia" w:ascii="宋体" w:hAnsi="宋体" w:cs="Tahoma"/>
          <w:b/>
          <w:sz w:val="24"/>
        </w:rPr>
        <w:t>资格声明函</w:t>
      </w:r>
      <w:bookmarkEnd w:id="853"/>
      <w:bookmarkEnd w:id="854"/>
      <w:bookmarkEnd w:id="855"/>
      <w:bookmarkEnd w:id="856"/>
      <w:bookmarkEnd w:id="857"/>
    </w:p>
    <w:p w14:paraId="78180827">
      <w:pPr>
        <w:jc w:val="center"/>
      </w:pPr>
    </w:p>
    <w:p w14:paraId="3617DEF8">
      <w:pPr>
        <w:spacing w:line="360" w:lineRule="auto"/>
        <w:rPr>
          <w:b/>
          <w:sz w:val="24"/>
          <w:szCs w:val="24"/>
        </w:rPr>
      </w:pPr>
      <w:r>
        <w:rPr>
          <w:rFonts w:hint="eastAsia"/>
          <w:b/>
          <w:sz w:val="24"/>
        </w:rPr>
        <w:t>粤廉（广东）招标代理有限公司</w:t>
      </w:r>
      <w:r>
        <w:rPr>
          <w:rFonts w:hint="eastAsia"/>
          <w:b/>
          <w:sz w:val="24"/>
          <w:szCs w:val="24"/>
        </w:rPr>
        <w:t>：</w:t>
      </w:r>
    </w:p>
    <w:p w14:paraId="067C1FAC">
      <w:pPr>
        <w:spacing w:line="360" w:lineRule="auto"/>
        <w:ind w:firstLine="424" w:firstLineChars="177"/>
        <w:rPr>
          <w:rFonts w:ascii="宋体" w:hAnsi="宋体"/>
          <w:sz w:val="24"/>
          <w:szCs w:val="24"/>
        </w:rPr>
      </w:pPr>
      <w:r>
        <w:rPr>
          <w:rFonts w:hint="eastAsia"/>
          <w:sz w:val="24"/>
          <w:szCs w:val="24"/>
        </w:rPr>
        <w:t>关于贵公司</w:t>
      </w:r>
      <w:r>
        <w:rPr>
          <w:rFonts w:hint="eastAsia"/>
          <w:sz w:val="24"/>
          <w:szCs w:val="24"/>
          <w:u w:val="single"/>
        </w:rPr>
        <w:t>　　　</w:t>
      </w:r>
      <w:r>
        <w:rPr>
          <w:rFonts w:hint="eastAsia"/>
          <w:sz w:val="24"/>
          <w:szCs w:val="24"/>
        </w:rPr>
        <w:t>年</w:t>
      </w:r>
      <w:r>
        <w:rPr>
          <w:rFonts w:hint="eastAsia"/>
          <w:sz w:val="24"/>
          <w:szCs w:val="24"/>
          <w:u w:val="single"/>
        </w:rPr>
        <w:t>　　</w:t>
      </w:r>
      <w:r>
        <w:rPr>
          <w:rFonts w:hint="eastAsia"/>
          <w:sz w:val="24"/>
          <w:szCs w:val="24"/>
        </w:rPr>
        <w:t>月</w:t>
      </w:r>
      <w:r>
        <w:rPr>
          <w:rFonts w:hint="eastAsia"/>
          <w:sz w:val="24"/>
          <w:szCs w:val="24"/>
          <w:u w:val="single"/>
        </w:rPr>
        <w:t>　　</w:t>
      </w:r>
      <w:r>
        <w:rPr>
          <w:rFonts w:hint="eastAsia"/>
          <w:sz w:val="24"/>
          <w:szCs w:val="24"/>
        </w:rPr>
        <w:t>日发布</w:t>
      </w:r>
      <w:r>
        <w:rPr>
          <w:rFonts w:hint="eastAsia"/>
          <w:sz w:val="24"/>
          <w:szCs w:val="24"/>
          <w:u w:val="single"/>
          <w:lang w:eastAsia="zh-CN"/>
        </w:rPr>
        <w:t>广东省粤东技师学院海天数智化综合实训基地改造工程</w:t>
      </w:r>
      <w:r>
        <w:rPr>
          <w:rFonts w:hint="eastAsia"/>
          <w:sz w:val="24"/>
          <w:szCs w:val="24"/>
        </w:rPr>
        <w:t>（项目编号：</w:t>
      </w:r>
      <w:r>
        <w:rPr>
          <w:rFonts w:hint="eastAsia" w:ascii="宋体" w:cs="Tahoma"/>
          <w:bCs/>
          <w:sz w:val="24"/>
          <w:lang w:eastAsia="zh-CN"/>
        </w:rPr>
        <w:t>YL202411248</w:t>
      </w:r>
      <w:r>
        <w:rPr>
          <w:rFonts w:hint="eastAsia" w:ascii="宋体" w:hAnsi="宋体"/>
          <w:sz w:val="24"/>
          <w:szCs w:val="24"/>
        </w:rPr>
        <w:t>）的</w:t>
      </w:r>
      <w:r>
        <w:rPr>
          <w:rFonts w:hint="eastAsia" w:ascii="宋体" w:hAnsi="宋体" w:cs="宋体"/>
          <w:sz w:val="24"/>
          <w:lang w:eastAsia="zh-CN"/>
        </w:rPr>
        <w:t>遴选公告</w:t>
      </w:r>
      <w:r>
        <w:rPr>
          <w:rFonts w:hint="eastAsia" w:ascii="宋体" w:hAnsi="宋体"/>
          <w:sz w:val="24"/>
          <w:szCs w:val="24"/>
        </w:rPr>
        <w:t>，我公司愿意参加</w:t>
      </w:r>
      <w:r>
        <w:rPr>
          <w:rFonts w:hint="eastAsia" w:ascii="宋体" w:hAnsi="宋体"/>
          <w:sz w:val="24"/>
          <w:szCs w:val="24"/>
          <w:lang w:eastAsia="zh-CN"/>
        </w:rPr>
        <w:t>响应</w:t>
      </w:r>
      <w:r>
        <w:rPr>
          <w:rFonts w:hint="eastAsia" w:ascii="宋体" w:hAnsi="宋体"/>
          <w:sz w:val="24"/>
          <w:szCs w:val="24"/>
        </w:rPr>
        <w:t>，并声明：</w:t>
      </w:r>
    </w:p>
    <w:p w14:paraId="4A59010C">
      <w:pPr>
        <w:spacing w:line="360" w:lineRule="auto"/>
        <w:ind w:left="424" w:leftChars="-1" w:hanging="426"/>
        <w:rPr>
          <w:rFonts w:ascii="宋体" w:hAnsi="宋体"/>
          <w:sz w:val="24"/>
          <w:szCs w:val="24"/>
        </w:rPr>
      </w:pPr>
      <w:r>
        <w:rPr>
          <w:rFonts w:hint="eastAsia" w:ascii="宋体" w:hAnsi="宋体"/>
          <w:sz w:val="24"/>
          <w:szCs w:val="24"/>
        </w:rPr>
        <w:t>一、本公司具备以下资格条件：</w:t>
      </w:r>
    </w:p>
    <w:p w14:paraId="348DBAA9">
      <w:pPr>
        <w:spacing w:line="360" w:lineRule="auto"/>
        <w:ind w:left="850" w:leftChars="202" w:hanging="426"/>
        <w:rPr>
          <w:rFonts w:ascii="宋体" w:hAnsi="宋体"/>
          <w:sz w:val="24"/>
          <w:szCs w:val="24"/>
        </w:rPr>
      </w:pPr>
      <w:r>
        <w:rPr>
          <w:rFonts w:hint="eastAsia" w:ascii="宋体" w:hAnsi="宋体"/>
          <w:sz w:val="24"/>
          <w:szCs w:val="24"/>
        </w:rPr>
        <w:t>（一）具有独立承担民事责任的能力；</w:t>
      </w:r>
    </w:p>
    <w:p w14:paraId="22201A7A">
      <w:pPr>
        <w:spacing w:line="360" w:lineRule="auto"/>
        <w:ind w:left="850" w:leftChars="202" w:hanging="426"/>
        <w:rPr>
          <w:rFonts w:ascii="宋体" w:hAnsi="宋体"/>
          <w:sz w:val="24"/>
          <w:szCs w:val="24"/>
        </w:rPr>
      </w:pPr>
      <w:r>
        <w:rPr>
          <w:rFonts w:hint="eastAsia" w:ascii="宋体" w:hAnsi="宋体"/>
          <w:sz w:val="24"/>
          <w:szCs w:val="24"/>
        </w:rPr>
        <w:t xml:space="preserve">（二）具有良好的商业信誉和健全的财务会计制度； </w:t>
      </w:r>
    </w:p>
    <w:p w14:paraId="2C234D27">
      <w:pPr>
        <w:spacing w:line="360" w:lineRule="auto"/>
        <w:ind w:left="850" w:leftChars="202" w:hanging="426"/>
        <w:rPr>
          <w:rFonts w:ascii="宋体" w:hAnsi="宋体"/>
          <w:sz w:val="24"/>
          <w:szCs w:val="24"/>
        </w:rPr>
      </w:pPr>
      <w:r>
        <w:rPr>
          <w:rFonts w:hint="eastAsia" w:ascii="宋体" w:hAnsi="宋体"/>
          <w:sz w:val="24"/>
          <w:szCs w:val="24"/>
        </w:rPr>
        <w:t>（三）具有履行合同所必需的设备和专业技术能力；</w:t>
      </w:r>
    </w:p>
    <w:p w14:paraId="6B95A2DA">
      <w:pPr>
        <w:spacing w:line="360" w:lineRule="auto"/>
        <w:ind w:left="850" w:leftChars="202" w:hanging="426"/>
        <w:rPr>
          <w:rFonts w:ascii="宋体" w:hAnsi="宋体"/>
          <w:sz w:val="24"/>
          <w:szCs w:val="24"/>
        </w:rPr>
      </w:pPr>
      <w:r>
        <w:rPr>
          <w:rFonts w:hint="eastAsia" w:ascii="宋体" w:hAnsi="宋体"/>
          <w:sz w:val="24"/>
          <w:szCs w:val="24"/>
        </w:rPr>
        <w:t>（四）有依法缴纳税收和社会保障资金的良好记录；</w:t>
      </w:r>
    </w:p>
    <w:p w14:paraId="52D39832">
      <w:pPr>
        <w:spacing w:line="360" w:lineRule="auto"/>
        <w:ind w:left="850" w:leftChars="202" w:hanging="426"/>
        <w:rPr>
          <w:rFonts w:ascii="宋体" w:hAnsi="宋体"/>
          <w:sz w:val="24"/>
          <w:szCs w:val="24"/>
        </w:rPr>
      </w:pPr>
      <w:r>
        <w:rPr>
          <w:rFonts w:hint="eastAsia" w:ascii="宋体" w:hAnsi="宋体"/>
          <w:sz w:val="24"/>
          <w:szCs w:val="24"/>
        </w:rPr>
        <w:t>（五）参加招标采购前三年内，在经营活动中没有重大违法记录；</w:t>
      </w:r>
    </w:p>
    <w:p w14:paraId="3227E555">
      <w:pPr>
        <w:spacing w:line="360" w:lineRule="auto"/>
        <w:ind w:left="850" w:leftChars="202" w:hanging="426"/>
        <w:rPr>
          <w:rFonts w:ascii="宋体" w:hAnsi="宋体"/>
          <w:sz w:val="24"/>
          <w:szCs w:val="24"/>
        </w:rPr>
      </w:pPr>
      <w:r>
        <w:rPr>
          <w:rFonts w:hint="eastAsia" w:ascii="宋体" w:hAnsi="宋体"/>
          <w:sz w:val="24"/>
          <w:szCs w:val="24"/>
        </w:rPr>
        <w:t>（六）法律、行政法规规定的其他条件。</w:t>
      </w:r>
    </w:p>
    <w:p w14:paraId="36E7DD15">
      <w:pPr>
        <w:spacing w:line="360" w:lineRule="auto"/>
        <w:ind w:left="426" w:hanging="426"/>
        <w:rPr>
          <w:rFonts w:ascii="宋体" w:hAnsi="宋体"/>
          <w:sz w:val="24"/>
          <w:szCs w:val="24"/>
        </w:rPr>
      </w:pPr>
      <w:r>
        <w:rPr>
          <w:rFonts w:hint="eastAsia" w:ascii="宋体" w:hAnsi="宋体"/>
          <w:sz w:val="24"/>
          <w:szCs w:val="24"/>
        </w:rPr>
        <w:t>二、本公司（企业）的单位负责人与所参投的本</w:t>
      </w:r>
      <w:r>
        <w:rPr>
          <w:rFonts w:hint="eastAsia" w:ascii="宋体" w:hAnsi="宋体" w:cs="宋体"/>
          <w:sz w:val="24"/>
        </w:rPr>
        <w:t>采购项目</w:t>
      </w:r>
      <w:r>
        <w:rPr>
          <w:rFonts w:hint="eastAsia" w:ascii="宋体" w:hAnsi="宋体"/>
          <w:sz w:val="24"/>
          <w:szCs w:val="24"/>
        </w:rPr>
        <w:t>的其他</w:t>
      </w:r>
      <w:r>
        <w:rPr>
          <w:rFonts w:hint="eastAsia" w:ascii="宋体" w:hAnsi="宋体"/>
          <w:sz w:val="24"/>
          <w:szCs w:val="24"/>
          <w:lang w:eastAsia="zh-CN"/>
        </w:rPr>
        <w:t>响应供应商</w:t>
      </w:r>
      <w:r>
        <w:rPr>
          <w:rFonts w:hint="eastAsia" w:ascii="宋体" w:hAnsi="宋体"/>
          <w:sz w:val="24"/>
          <w:szCs w:val="24"/>
        </w:rPr>
        <w:t>的单位负责人不为同一人且与其他</w:t>
      </w:r>
      <w:r>
        <w:rPr>
          <w:rFonts w:hint="eastAsia" w:ascii="宋体" w:hAnsi="宋体"/>
          <w:sz w:val="24"/>
          <w:szCs w:val="24"/>
          <w:lang w:eastAsia="zh-CN"/>
        </w:rPr>
        <w:t>响应供应商</w:t>
      </w:r>
      <w:r>
        <w:rPr>
          <w:rFonts w:hint="eastAsia" w:ascii="宋体" w:hAnsi="宋体"/>
          <w:sz w:val="24"/>
          <w:szCs w:val="24"/>
        </w:rPr>
        <w:t>之间不存在直接控股、管理关系。</w:t>
      </w:r>
    </w:p>
    <w:p w14:paraId="1A8BE964">
      <w:pPr>
        <w:spacing w:line="360" w:lineRule="auto"/>
        <w:ind w:left="426" w:hanging="426"/>
        <w:rPr>
          <w:rFonts w:ascii="宋体" w:hAnsi="宋体"/>
          <w:sz w:val="24"/>
          <w:szCs w:val="24"/>
        </w:rPr>
      </w:pPr>
      <w:r>
        <w:rPr>
          <w:rFonts w:hint="eastAsia" w:ascii="宋体" w:hAnsi="宋体"/>
          <w:sz w:val="24"/>
          <w:szCs w:val="24"/>
        </w:rPr>
        <w:t>三、本公司（企业）如为本</w:t>
      </w:r>
      <w:r>
        <w:rPr>
          <w:rFonts w:hint="eastAsia" w:ascii="宋体" w:hAnsi="宋体" w:cs="宋体"/>
          <w:sz w:val="24"/>
        </w:rPr>
        <w:t>采购项目</w:t>
      </w:r>
      <w:r>
        <w:rPr>
          <w:rFonts w:hint="eastAsia" w:ascii="宋体" w:hAnsi="宋体"/>
          <w:sz w:val="24"/>
          <w:szCs w:val="24"/>
        </w:rPr>
        <w:t>包组提供整体设计、规范编制或者项目管理、监理、检测等服务的</w:t>
      </w:r>
      <w:r>
        <w:rPr>
          <w:rFonts w:hint="eastAsia" w:ascii="宋体" w:hAnsi="宋体"/>
          <w:sz w:val="24"/>
          <w:szCs w:val="24"/>
          <w:lang w:eastAsia="zh-CN"/>
        </w:rPr>
        <w:t>响应供应商</w:t>
      </w:r>
      <w:r>
        <w:rPr>
          <w:rFonts w:hint="eastAsia" w:ascii="宋体" w:hAnsi="宋体"/>
          <w:sz w:val="24"/>
          <w:szCs w:val="24"/>
        </w:rPr>
        <w:t>，不得再参加该</w:t>
      </w:r>
      <w:r>
        <w:rPr>
          <w:rFonts w:hint="eastAsia" w:ascii="宋体" w:hAnsi="宋体" w:cs="宋体"/>
          <w:sz w:val="24"/>
        </w:rPr>
        <w:t>采购项目</w:t>
      </w:r>
      <w:r>
        <w:rPr>
          <w:rFonts w:hint="eastAsia" w:ascii="宋体" w:hAnsi="宋体"/>
          <w:sz w:val="24"/>
          <w:szCs w:val="24"/>
        </w:rPr>
        <w:t>的其他</w:t>
      </w:r>
      <w:r>
        <w:rPr>
          <w:rFonts w:hint="eastAsia" w:ascii="宋体" w:hAnsi="宋体" w:cs="宋体"/>
          <w:sz w:val="24"/>
        </w:rPr>
        <w:t>招标采购</w:t>
      </w:r>
      <w:r>
        <w:rPr>
          <w:rFonts w:hint="eastAsia" w:ascii="宋体" w:hAnsi="宋体"/>
          <w:sz w:val="24"/>
          <w:szCs w:val="24"/>
        </w:rPr>
        <w:t>活动。否则，由此所造成的损失、不良后果及法律责任，一律由我公司（企业）承担。</w:t>
      </w:r>
    </w:p>
    <w:p w14:paraId="6F26B836">
      <w:pPr>
        <w:spacing w:line="360" w:lineRule="auto"/>
        <w:ind w:left="426" w:hanging="426"/>
        <w:rPr>
          <w:rFonts w:ascii="宋体" w:hAnsi="宋体"/>
          <w:sz w:val="24"/>
          <w:szCs w:val="24"/>
        </w:rPr>
      </w:pPr>
      <w:r>
        <w:rPr>
          <w:rFonts w:hint="eastAsia" w:ascii="宋体" w:hAnsi="宋体"/>
          <w:sz w:val="24"/>
          <w:szCs w:val="24"/>
        </w:rPr>
        <w:t>四、本公司（企业）承诺在本次招标采购活动中，如有违法、违规、弄虚作假行为，所造成的损失、不良后果及法律责任，一律由我公司（企业）承担。</w:t>
      </w:r>
    </w:p>
    <w:p w14:paraId="47D0F9D3">
      <w:pPr>
        <w:spacing w:line="360" w:lineRule="auto"/>
        <w:ind w:left="426" w:hanging="426"/>
        <w:rPr>
          <w:rFonts w:ascii="宋体" w:hAnsi="宋体"/>
          <w:sz w:val="24"/>
          <w:szCs w:val="24"/>
        </w:rPr>
      </w:pPr>
      <w:r>
        <w:rPr>
          <w:rFonts w:hint="eastAsia" w:ascii="宋体" w:hAnsi="宋体"/>
          <w:sz w:val="24"/>
          <w:szCs w:val="24"/>
        </w:rPr>
        <w:t xml:space="preserve">    特此声明！</w:t>
      </w:r>
    </w:p>
    <w:p w14:paraId="58A30A44">
      <w:pPr>
        <w:spacing w:line="360" w:lineRule="auto"/>
        <w:ind w:firstLine="420"/>
        <w:rPr>
          <w:b/>
          <w:sz w:val="24"/>
        </w:rPr>
      </w:pPr>
      <w:r>
        <w:rPr>
          <w:rFonts w:hint="eastAsia"/>
          <w:b/>
          <w:sz w:val="24"/>
        </w:rPr>
        <w:t>说明：本格式文件内容不得擅自删改。</w:t>
      </w:r>
    </w:p>
    <w:p w14:paraId="06775631">
      <w:pPr>
        <w:spacing w:line="360" w:lineRule="auto"/>
        <w:ind w:firstLine="420"/>
        <w:rPr>
          <w:sz w:val="24"/>
        </w:rPr>
      </w:pPr>
    </w:p>
    <w:p w14:paraId="5D67C105">
      <w:pPr>
        <w:spacing w:line="336" w:lineRule="auto"/>
        <w:ind w:firstLine="480"/>
        <w:rPr>
          <w:rFonts w:ascii="宋体" w:hAnsi="宋体"/>
          <w:sz w:val="24"/>
        </w:rPr>
      </w:pPr>
      <w:r>
        <w:rPr>
          <w:rFonts w:hint="eastAsia" w:ascii="宋体" w:hAnsi="宋体"/>
          <w:sz w:val="24"/>
          <w:lang w:eastAsia="zh-CN"/>
        </w:rPr>
        <w:t>响应供应商</w:t>
      </w:r>
      <w:r>
        <w:rPr>
          <w:rFonts w:hint="eastAsia" w:ascii="宋体" w:hAnsi="宋体"/>
          <w:sz w:val="24"/>
        </w:rPr>
        <w:t>全称（盖公章）：</w:t>
      </w:r>
    </w:p>
    <w:p w14:paraId="6B6357A9">
      <w:pPr>
        <w:spacing w:line="336" w:lineRule="auto"/>
        <w:ind w:firstLine="480"/>
        <w:rPr>
          <w:rFonts w:ascii="宋体" w:hAnsi="宋体"/>
          <w:sz w:val="24"/>
        </w:rPr>
      </w:pPr>
      <w:r>
        <w:rPr>
          <w:rFonts w:hint="eastAsia" w:ascii="宋体" w:hAnsi="宋体"/>
          <w:sz w:val="24"/>
        </w:rPr>
        <w:t>法定代表人或授权代表（签名或盖章）：</w:t>
      </w:r>
    </w:p>
    <w:p w14:paraId="49ED638F">
      <w:pPr>
        <w:spacing w:line="336" w:lineRule="auto"/>
        <w:ind w:firstLine="480"/>
        <w:rPr>
          <w:rFonts w:ascii="宋体" w:hAnsi="宋体"/>
          <w:sz w:val="24"/>
        </w:rPr>
      </w:pPr>
      <w:r>
        <w:rPr>
          <w:rFonts w:hint="eastAsia" w:ascii="宋体" w:hAnsi="宋体"/>
          <w:sz w:val="24"/>
        </w:rPr>
        <w:t>日    期：     年   月   日</w:t>
      </w:r>
    </w:p>
    <w:p w14:paraId="72629383">
      <w:pPr>
        <w:spacing w:line="480" w:lineRule="auto"/>
        <w:ind w:firstLine="420"/>
      </w:pPr>
    </w:p>
    <w:p w14:paraId="2C4F4985">
      <w:pPr>
        <w:spacing w:line="360" w:lineRule="auto"/>
        <w:outlineLvl w:val="2"/>
        <w:rPr>
          <w:rFonts w:ascii="宋体" w:hAnsi="宋体"/>
          <w:b/>
          <w:sz w:val="28"/>
          <w:szCs w:val="28"/>
        </w:rPr>
      </w:pPr>
      <w:r>
        <w:br w:type="page"/>
      </w:r>
      <w:bookmarkStart w:id="858" w:name="_Toc92978554"/>
      <w:bookmarkStart w:id="859" w:name="_Toc92459755"/>
      <w:bookmarkStart w:id="860" w:name="_Toc91288866"/>
      <w:bookmarkStart w:id="861" w:name="_Toc2742"/>
      <w:bookmarkStart w:id="862" w:name="_Toc18492"/>
      <w:r>
        <w:rPr>
          <w:rFonts w:hint="eastAsia" w:ascii="宋体" w:hAnsi="宋体"/>
          <w:b/>
          <w:sz w:val="24"/>
        </w:rPr>
        <w:t>附件2-1 营业执照</w:t>
      </w:r>
      <w:bookmarkEnd w:id="858"/>
      <w:bookmarkEnd w:id="859"/>
      <w:bookmarkEnd w:id="860"/>
      <w:bookmarkEnd w:id="861"/>
      <w:bookmarkEnd w:id="862"/>
    </w:p>
    <w:p w14:paraId="29017631">
      <w:pPr>
        <w:spacing w:line="360" w:lineRule="auto"/>
        <w:rPr>
          <w:rFonts w:ascii="宋体" w:hAnsi="宋体"/>
          <w:b/>
          <w:sz w:val="24"/>
        </w:rPr>
      </w:pPr>
    </w:p>
    <w:p w14:paraId="198B9EC8">
      <w:pPr>
        <w:spacing w:line="360" w:lineRule="auto"/>
        <w:rPr>
          <w:rFonts w:ascii="宋体" w:hAnsi="宋体"/>
          <w:b/>
          <w:sz w:val="24"/>
        </w:rPr>
      </w:pPr>
    </w:p>
    <w:p w14:paraId="27E6960D"/>
    <w:p w14:paraId="2044D209"/>
    <w:p w14:paraId="4C391E4A"/>
    <w:p w14:paraId="784AF6D8"/>
    <w:p w14:paraId="660398FF">
      <w:pPr>
        <w:spacing w:line="360" w:lineRule="auto"/>
        <w:outlineLvl w:val="2"/>
        <w:rPr>
          <w:rFonts w:ascii="宋体" w:hAnsi="宋体"/>
          <w:b/>
          <w:sz w:val="24"/>
        </w:rPr>
      </w:pPr>
      <w:bookmarkStart w:id="863" w:name="_Toc92978555"/>
      <w:bookmarkStart w:id="864" w:name="_Toc7307"/>
      <w:bookmarkStart w:id="865" w:name="_Toc92459756"/>
      <w:bookmarkStart w:id="866" w:name="_Toc24340"/>
      <w:r>
        <w:rPr>
          <w:rFonts w:hint="eastAsia" w:ascii="宋体" w:hAnsi="宋体"/>
          <w:b/>
          <w:sz w:val="24"/>
        </w:rPr>
        <w:t>附件2-2</w:t>
      </w:r>
      <w:r>
        <w:rPr>
          <w:rFonts w:ascii="宋体" w:hAnsi="宋体"/>
          <w:b/>
          <w:sz w:val="24"/>
        </w:rPr>
        <w:t xml:space="preserve"> 信用信息</w:t>
      </w:r>
      <w:bookmarkEnd w:id="863"/>
      <w:bookmarkEnd w:id="864"/>
      <w:bookmarkEnd w:id="865"/>
      <w:bookmarkEnd w:id="866"/>
    </w:p>
    <w:p w14:paraId="4E0B7DF9">
      <w:pPr>
        <w:tabs>
          <w:tab w:val="left" w:pos="0"/>
        </w:tabs>
        <w:spacing w:line="360" w:lineRule="auto"/>
        <w:ind w:left="1" w:firstLine="480" w:firstLineChars="200"/>
        <w:rPr>
          <w:rFonts w:ascii="仿宋" w:hAnsi="仿宋" w:eastAsia="仿宋"/>
          <w:bCs/>
          <w:sz w:val="24"/>
        </w:rPr>
      </w:pPr>
      <w:r>
        <w:rPr>
          <w:rFonts w:hint="eastAsia" w:ascii="仿宋" w:hAnsi="仿宋" w:eastAsia="仿宋"/>
          <w:bCs/>
          <w:sz w:val="24"/>
          <w:lang w:eastAsia="zh-CN"/>
        </w:rPr>
        <w:t>响应供应商</w:t>
      </w:r>
      <w:r>
        <w:rPr>
          <w:rFonts w:hint="eastAsia" w:ascii="仿宋" w:hAnsi="仿宋" w:eastAsia="仿宋"/>
          <w:bCs/>
          <w:sz w:val="24"/>
        </w:rPr>
        <w:t>未被列入“中国执行信息公开网”（</w:t>
      </w:r>
      <w:r>
        <w:rPr>
          <w:rFonts w:ascii="仿宋" w:hAnsi="仿宋" w:eastAsia="仿宋"/>
          <w:bCs/>
          <w:sz w:val="24"/>
        </w:rPr>
        <w:t xml:space="preserve"> </w:t>
      </w:r>
      <w:r>
        <w:rPr>
          <w:rFonts w:hint="eastAsia" w:ascii="仿宋" w:hAnsi="仿宋" w:eastAsia="仿宋"/>
          <w:bCs/>
          <w:sz w:val="24"/>
        </w:rPr>
        <w:t>http://zxgk.court.gov.cn/shixin/）“记录失信被执行人”名单；“信用中国”网站(www.creditchina.gov.cn)“重大税收违法失信主体、政府采购严重违法失信行为记录名单”。同时，不处于中国政府采购网(www.ccgp.gov.cn)“政府采购严重违法失信行为信息记录”</w:t>
      </w:r>
      <w:r>
        <w:rPr>
          <w:rFonts w:ascii="仿宋" w:hAnsi="仿宋" w:eastAsia="仿宋"/>
          <w:bCs/>
          <w:sz w:val="24"/>
        </w:rPr>
        <w:t xml:space="preserve"> </w:t>
      </w:r>
      <w:r>
        <w:rPr>
          <w:rFonts w:hint="eastAsia" w:ascii="仿宋" w:hAnsi="仿宋" w:eastAsia="仿宋"/>
          <w:bCs/>
          <w:sz w:val="24"/>
        </w:rPr>
        <w:t>中的禁止参加政府采购活动期间。如查询结果未显示存在失信记录，视为不存在上述不良信用记录。</w:t>
      </w:r>
    </w:p>
    <w:p w14:paraId="74265470">
      <w:pPr>
        <w:spacing w:line="360" w:lineRule="auto"/>
        <w:rPr>
          <w:rFonts w:ascii="宋体" w:hAnsi="宋体"/>
          <w:b/>
          <w:sz w:val="24"/>
        </w:rPr>
      </w:pPr>
    </w:p>
    <w:p w14:paraId="63E5EFBD">
      <w:pPr>
        <w:spacing w:line="360" w:lineRule="auto"/>
        <w:rPr>
          <w:rFonts w:ascii="宋体" w:hAnsi="宋体"/>
          <w:b/>
          <w:sz w:val="24"/>
        </w:rPr>
      </w:pPr>
    </w:p>
    <w:p w14:paraId="279A9B4F">
      <w:pPr>
        <w:spacing w:line="360" w:lineRule="auto"/>
        <w:rPr>
          <w:rFonts w:ascii="宋体" w:hAnsi="宋体"/>
          <w:b/>
          <w:sz w:val="24"/>
        </w:rPr>
      </w:pPr>
    </w:p>
    <w:p w14:paraId="1C1B7D4B">
      <w:pPr>
        <w:spacing w:line="360" w:lineRule="auto"/>
        <w:rPr>
          <w:rFonts w:ascii="宋体" w:hAnsi="宋体"/>
          <w:b/>
          <w:sz w:val="24"/>
        </w:rPr>
      </w:pPr>
    </w:p>
    <w:p w14:paraId="6FCFBC8D">
      <w:pPr>
        <w:spacing w:line="360" w:lineRule="auto"/>
        <w:outlineLvl w:val="2"/>
        <w:rPr>
          <w:rFonts w:ascii="宋体" w:hAnsi="宋体"/>
          <w:b/>
          <w:sz w:val="24"/>
        </w:rPr>
      </w:pPr>
      <w:bookmarkStart w:id="867" w:name="_Toc16511"/>
      <w:bookmarkStart w:id="868" w:name="_Toc92978556"/>
      <w:bookmarkStart w:id="869" w:name="_Toc92459757"/>
      <w:bookmarkStart w:id="870" w:name="_Toc24576"/>
      <w:r>
        <w:rPr>
          <w:rFonts w:hint="eastAsia" w:ascii="宋体" w:hAnsi="宋体"/>
          <w:b/>
          <w:sz w:val="24"/>
        </w:rPr>
        <w:t>附件2-3 其他特定资格要求</w:t>
      </w:r>
      <w:bookmarkEnd w:id="867"/>
      <w:bookmarkEnd w:id="868"/>
      <w:bookmarkEnd w:id="869"/>
      <w:bookmarkEnd w:id="870"/>
    </w:p>
    <w:p w14:paraId="6B1C4E5E">
      <w:pPr>
        <w:tabs>
          <w:tab w:val="left" w:pos="0"/>
        </w:tabs>
        <w:spacing w:line="360" w:lineRule="auto"/>
        <w:ind w:left="1" w:firstLine="2"/>
        <w:rPr>
          <w:rFonts w:ascii="宋体" w:hAnsi="宋体"/>
          <w:b/>
          <w:bCs/>
        </w:rPr>
      </w:pPr>
    </w:p>
    <w:p w14:paraId="4919CBB9">
      <w:pPr>
        <w:tabs>
          <w:tab w:val="left" w:pos="0"/>
        </w:tabs>
        <w:spacing w:line="360" w:lineRule="auto"/>
        <w:ind w:left="1" w:firstLine="2"/>
        <w:rPr>
          <w:rFonts w:ascii="仿宋" w:hAnsi="仿宋" w:eastAsia="仿宋"/>
          <w:bCs/>
          <w:sz w:val="24"/>
        </w:rPr>
      </w:pPr>
      <w:r>
        <w:rPr>
          <w:rFonts w:hint="eastAsia" w:ascii="仿宋" w:hAnsi="仿宋" w:eastAsia="仿宋"/>
          <w:bCs/>
          <w:sz w:val="24"/>
        </w:rPr>
        <w:t>注：若有特定资格条款，请按照</w:t>
      </w:r>
      <w:r>
        <w:rPr>
          <w:rFonts w:hint="eastAsia" w:ascii="仿宋" w:hAnsi="仿宋" w:eastAsia="仿宋"/>
          <w:bCs/>
          <w:sz w:val="24"/>
          <w:lang w:eastAsia="zh-CN"/>
        </w:rPr>
        <w:t>遴选文件</w:t>
      </w:r>
      <w:r>
        <w:rPr>
          <w:rFonts w:hint="eastAsia" w:ascii="仿宋" w:hAnsi="仿宋" w:eastAsia="仿宋"/>
          <w:bCs/>
          <w:sz w:val="24"/>
        </w:rPr>
        <w:t>要求提供。</w:t>
      </w:r>
    </w:p>
    <w:p w14:paraId="520CEF14">
      <w:pPr>
        <w:pStyle w:val="5"/>
        <w:spacing w:line="360" w:lineRule="auto"/>
        <w:ind w:firstLine="0"/>
        <w:rPr>
          <w:sz w:val="28"/>
          <w:szCs w:val="28"/>
        </w:rPr>
      </w:pPr>
    </w:p>
    <w:p w14:paraId="143F54DF">
      <w:pPr>
        <w:spacing w:line="360" w:lineRule="auto"/>
        <w:ind w:firstLine="420"/>
        <w:rPr>
          <w:sz w:val="24"/>
        </w:rPr>
      </w:pPr>
    </w:p>
    <w:p w14:paraId="3BB46613">
      <w:pPr>
        <w:spacing w:line="360" w:lineRule="auto"/>
        <w:ind w:left="480"/>
        <w:rPr>
          <w:rFonts w:ascii="宋体" w:hAnsi="宋体"/>
          <w:sz w:val="24"/>
          <w:szCs w:val="24"/>
        </w:rPr>
      </w:pPr>
      <w:r>
        <w:rPr>
          <w:rFonts w:hint="eastAsia"/>
          <w:sz w:val="24"/>
          <w:szCs w:val="24"/>
        </w:rPr>
        <w:t xml:space="preserve">     </w:t>
      </w:r>
    </w:p>
    <w:p w14:paraId="541DADE6">
      <w:pPr>
        <w:spacing w:line="360" w:lineRule="auto"/>
        <w:outlineLvl w:val="1"/>
        <w:rPr>
          <w:sz w:val="28"/>
          <w:szCs w:val="28"/>
        </w:rPr>
      </w:pPr>
      <w:bookmarkStart w:id="871" w:name="_Toc482255098"/>
      <w:r>
        <w:rPr>
          <w:sz w:val="28"/>
          <w:szCs w:val="28"/>
        </w:rPr>
        <w:br w:type="page"/>
      </w:r>
      <w:bookmarkStart w:id="872" w:name="_Toc32253"/>
      <w:bookmarkStart w:id="873" w:name="_Toc8399"/>
      <w:bookmarkStart w:id="874" w:name="_Toc90148940"/>
      <w:bookmarkStart w:id="875" w:name="_Toc91288869"/>
      <w:r>
        <w:rPr>
          <w:rFonts w:hint="eastAsia" w:ascii="宋体" w:hAnsi="宋体" w:cs="Tahoma"/>
          <w:b/>
          <w:sz w:val="24"/>
        </w:rPr>
        <w:t>附件3 法定代表人证明书</w:t>
      </w:r>
      <w:bookmarkEnd w:id="871"/>
      <w:bookmarkEnd w:id="872"/>
      <w:bookmarkEnd w:id="873"/>
      <w:bookmarkEnd w:id="874"/>
      <w:bookmarkEnd w:id="875"/>
    </w:p>
    <w:p w14:paraId="4425F060">
      <w:pPr>
        <w:spacing w:line="360" w:lineRule="auto"/>
        <w:rPr>
          <w:rFonts w:ascii="宋体" w:hAnsi="宋体"/>
          <w:b/>
          <w:bCs/>
          <w:sz w:val="28"/>
          <w:u w:val="single"/>
        </w:rPr>
      </w:pPr>
    </w:p>
    <w:p w14:paraId="4E913A7E">
      <w:pPr>
        <w:spacing w:line="360" w:lineRule="auto"/>
        <w:ind w:firstLine="424" w:firstLineChars="177"/>
        <w:rPr>
          <w:rFonts w:ascii="宋体" w:hAnsi="宋体"/>
          <w:sz w:val="24"/>
        </w:rPr>
      </w:pPr>
      <w:r>
        <w:rPr>
          <w:rFonts w:hint="eastAsia" w:ascii="宋体" w:hAnsi="宋体"/>
          <w:sz w:val="24"/>
          <w:u w:val="single"/>
        </w:rPr>
        <w:t xml:space="preserve">        </w:t>
      </w:r>
      <w:r>
        <w:rPr>
          <w:rFonts w:hint="eastAsia" w:ascii="宋体" w:hAnsi="宋体"/>
          <w:sz w:val="24"/>
        </w:rPr>
        <w:t>同志，现任我单位</w:t>
      </w:r>
      <w:r>
        <w:rPr>
          <w:rFonts w:hint="eastAsia" w:ascii="宋体" w:hAnsi="宋体"/>
          <w:sz w:val="24"/>
          <w:u w:val="single"/>
        </w:rPr>
        <w:t xml:space="preserve">       </w:t>
      </w:r>
      <w:r>
        <w:rPr>
          <w:rFonts w:hint="eastAsia" w:ascii="宋体" w:hAnsi="宋体"/>
          <w:sz w:val="24"/>
        </w:rPr>
        <w:t>职务，为法定代表人，特此证明。</w:t>
      </w:r>
    </w:p>
    <w:p w14:paraId="0DD4D6EA">
      <w:pPr>
        <w:spacing w:line="360" w:lineRule="auto"/>
        <w:ind w:firstLine="480" w:firstLineChars="200"/>
        <w:rPr>
          <w:rFonts w:ascii="宋体" w:hAnsi="宋体"/>
          <w:sz w:val="24"/>
        </w:rPr>
      </w:pPr>
      <w:r>
        <w:rPr>
          <w:rFonts w:hint="eastAsia" w:ascii="宋体" w:hAnsi="宋体"/>
          <w:sz w:val="24"/>
        </w:rPr>
        <w:t>本证明书自签发之日起生效。</w:t>
      </w:r>
    </w:p>
    <w:p w14:paraId="47D6D702">
      <w:pPr>
        <w:pStyle w:val="17"/>
        <w:spacing w:line="360" w:lineRule="auto"/>
        <w:ind w:firstLine="480" w:firstLineChars="200"/>
        <w:rPr>
          <w:rFonts w:ascii="宋体" w:hAnsi="宋体"/>
          <w:sz w:val="24"/>
        </w:rPr>
      </w:pPr>
      <w:r>
        <w:rPr>
          <w:rFonts w:hint="eastAsia" w:ascii="宋体" w:hAnsi="宋体"/>
          <w:sz w:val="24"/>
        </w:rPr>
        <w:t>签发日期：___年___月___日</w:t>
      </w:r>
    </w:p>
    <w:p w14:paraId="39C59A44">
      <w:pPr>
        <w:spacing w:line="360" w:lineRule="auto"/>
        <w:ind w:firstLine="480" w:firstLineChars="200"/>
        <w:rPr>
          <w:rFonts w:ascii="宋体" w:hAnsi="宋体"/>
          <w:sz w:val="24"/>
        </w:rPr>
      </w:pPr>
    </w:p>
    <w:p w14:paraId="62D47CE1">
      <w:pPr>
        <w:spacing w:line="360" w:lineRule="auto"/>
        <w:ind w:firstLine="480" w:firstLineChars="200"/>
        <w:rPr>
          <w:rFonts w:ascii="宋体" w:hAnsi="宋体"/>
          <w:sz w:val="24"/>
        </w:rPr>
      </w:pPr>
    </w:p>
    <w:p w14:paraId="5DED5076">
      <w:pPr>
        <w:spacing w:line="360" w:lineRule="auto"/>
        <w:ind w:firstLine="480" w:firstLineChars="200"/>
        <w:rPr>
          <w:rFonts w:ascii="宋体" w:hAnsi="宋体"/>
          <w:sz w:val="24"/>
        </w:rPr>
      </w:pPr>
      <w:r>
        <w:rPr>
          <w:rFonts w:hint="eastAsia" w:ascii="宋体" w:hAnsi="宋体"/>
          <w:sz w:val="24"/>
        </w:rPr>
        <w:t>单位名称（盖章）：</w:t>
      </w:r>
      <w:r>
        <w:rPr>
          <w:rFonts w:hint="eastAsia" w:ascii="宋体" w:hAnsi="宋体"/>
          <w:sz w:val="24"/>
          <w:u w:val="single"/>
        </w:rPr>
        <w:t xml:space="preserve">            </w:t>
      </w:r>
    </w:p>
    <w:p w14:paraId="656A860D">
      <w:pPr>
        <w:spacing w:line="360" w:lineRule="auto"/>
        <w:ind w:firstLine="480" w:firstLineChars="200"/>
        <w:rPr>
          <w:rFonts w:ascii="宋体" w:hAnsi="宋体"/>
          <w:sz w:val="24"/>
        </w:rPr>
      </w:pPr>
      <w:r>
        <w:rPr>
          <w:rFonts w:hint="eastAsia" w:ascii="宋体" w:hAnsi="宋体"/>
          <w:sz w:val="24"/>
        </w:rPr>
        <w:t>日期：   年   月   日</w:t>
      </w:r>
    </w:p>
    <w:p w14:paraId="77FD6067">
      <w:pPr>
        <w:spacing w:line="360" w:lineRule="auto"/>
        <w:ind w:firstLine="480" w:firstLineChars="200"/>
        <w:rPr>
          <w:rFonts w:ascii="宋体" w:hAnsi="宋体"/>
          <w:sz w:val="24"/>
        </w:rPr>
      </w:pPr>
    </w:p>
    <w:p w14:paraId="5E5AA2DB">
      <w:pPr>
        <w:spacing w:line="480" w:lineRule="auto"/>
        <w:ind w:firstLine="480" w:firstLineChars="200"/>
        <w:rPr>
          <w:rFonts w:ascii="宋体" w:hAnsi="宋体"/>
          <w:sz w:val="24"/>
        </w:rPr>
      </w:pPr>
      <w:r>
        <w:rPr>
          <w:rFonts w:hint="eastAsia" w:ascii="宋体" w:hAnsi="宋体"/>
          <w:sz w:val="24"/>
        </w:rPr>
        <w:t>附：</w:t>
      </w:r>
    </w:p>
    <w:p w14:paraId="5F9D778B">
      <w:pPr>
        <w:spacing w:line="480" w:lineRule="auto"/>
        <w:ind w:firstLine="480" w:firstLineChars="200"/>
        <w:rPr>
          <w:rFonts w:ascii="宋体" w:hAnsi="宋体"/>
          <w:sz w:val="24"/>
        </w:rPr>
      </w:pPr>
      <w:r>
        <w:rPr>
          <w:rFonts w:hint="eastAsia" w:ascii="宋体" w:hAnsi="宋体"/>
          <w:sz w:val="24"/>
        </w:rPr>
        <w:t>代表人性别：</w:t>
      </w:r>
    </w:p>
    <w:p w14:paraId="0A03C194">
      <w:pPr>
        <w:spacing w:line="480" w:lineRule="auto"/>
        <w:ind w:firstLine="480" w:firstLineChars="200"/>
        <w:rPr>
          <w:rFonts w:ascii="宋体" w:hAnsi="宋体"/>
          <w:sz w:val="24"/>
        </w:rPr>
      </w:pPr>
      <w:r>
        <w:rPr>
          <w:rFonts w:hint="eastAsia" w:ascii="宋体" w:hAnsi="宋体"/>
          <w:sz w:val="24"/>
        </w:rPr>
        <w:t>年龄：</w:t>
      </w:r>
    </w:p>
    <w:p w14:paraId="033DB1F6">
      <w:pPr>
        <w:spacing w:line="480" w:lineRule="auto"/>
        <w:ind w:firstLine="480" w:firstLineChars="200"/>
        <w:rPr>
          <w:rFonts w:ascii="宋体" w:hAnsi="宋体"/>
          <w:sz w:val="24"/>
        </w:rPr>
      </w:pPr>
      <w:r>
        <w:rPr>
          <w:rFonts w:hint="eastAsia" w:ascii="宋体" w:hAnsi="宋体"/>
          <w:sz w:val="24"/>
        </w:rPr>
        <w:t>身份证号码：</w:t>
      </w:r>
    </w:p>
    <w:p w14:paraId="4D29B849">
      <w:pPr>
        <w:spacing w:line="480" w:lineRule="auto"/>
        <w:ind w:firstLine="480" w:firstLineChars="200"/>
        <w:rPr>
          <w:rFonts w:ascii="宋体" w:hAnsi="宋体"/>
          <w:sz w:val="24"/>
        </w:rPr>
      </w:pPr>
      <w:r>
        <w:rPr>
          <w:rFonts w:hint="eastAsia" w:ascii="宋体" w:hAnsi="宋体"/>
          <w:sz w:val="24"/>
        </w:rPr>
        <w:t>营业执照</w:t>
      </w:r>
      <w:r>
        <w:rPr>
          <w:rFonts w:ascii="宋体" w:hAnsi="宋体"/>
          <w:sz w:val="24"/>
        </w:rPr>
        <w:t>（</w:t>
      </w:r>
      <w:r>
        <w:rPr>
          <w:rFonts w:hint="eastAsia" w:ascii="宋体" w:hAnsi="宋体"/>
          <w:sz w:val="24"/>
        </w:rPr>
        <w:t>注册号</w:t>
      </w:r>
      <w:r>
        <w:rPr>
          <w:rFonts w:ascii="宋体" w:hAnsi="宋体"/>
          <w:sz w:val="24"/>
        </w:rPr>
        <w:t>）</w:t>
      </w:r>
      <w:r>
        <w:rPr>
          <w:rFonts w:hint="eastAsia" w:ascii="宋体" w:hAnsi="宋体"/>
          <w:sz w:val="24"/>
        </w:rPr>
        <w:t>：</w:t>
      </w:r>
    </w:p>
    <w:p w14:paraId="1127B610">
      <w:pPr>
        <w:spacing w:line="480" w:lineRule="auto"/>
        <w:ind w:firstLine="480" w:firstLineChars="200"/>
        <w:rPr>
          <w:rFonts w:ascii="宋体" w:hAnsi="宋体"/>
          <w:sz w:val="24"/>
        </w:rPr>
      </w:pPr>
      <w:r>
        <w:rPr>
          <w:rFonts w:hint="eastAsia" w:ascii="宋体" w:hAnsi="宋体"/>
          <w:sz w:val="24"/>
        </w:rPr>
        <w:t>经营范围：</w:t>
      </w:r>
    </w:p>
    <w:tbl>
      <w:tblPr>
        <w:tblStyle w:val="50"/>
        <w:tblW w:w="5000" w:type="pct"/>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9962"/>
      </w:tblGrid>
      <w:tr w14:paraId="177205C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541" w:hRule="atLeast"/>
        </w:trPr>
        <w:tc>
          <w:tcPr>
            <w:tcW w:w="5000" w:type="pct"/>
            <w:vAlign w:val="center"/>
          </w:tcPr>
          <w:p w14:paraId="3120C9D2">
            <w:pPr>
              <w:spacing w:line="480" w:lineRule="auto"/>
              <w:jc w:val="center"/>
              <w:rPr>
                <w:rFonts w:ascii="宋体" w:hAnsi="宋体"/>
                <w:b/>
                <w:sz w:val="24"/>
              </w:rPr>
            </w:pPr>
            <w:r>
              <w:rPr>
                <w:rFonts w:hint="eastAsia" w:ascii="宋体" w:hAnsi="宋体"/>
                <w:b/>
                <w:sz w:val="24"/>
              </w:rPr>
              <w:t>法定代表人</w:t>
            </w:r>
          </w:p>
          <w:p w14:paraId="223299DF">
            <w:pPr>
              <w:spacing w:line="480" w:lineRule="auto"/>
              <w:jc w:val="center"/>
              <w:rPr>
                <w:rFonts w:ascii="宋体" w:hAnsi="宋体"/>
                <w:sz w:val="24"/>
              </w:rPr>
            </w:pPr>
            <w:r>
              <w:rPr>
                <w:rFonts w:hint="eastAsia" w:ascii="宋体" w:hAnsi="宋体"/>
                <w:b/>
                <w:sz w:val="24"/>
              </w:rPr>
              <w:t>居民身份证复印件粘贴处（正、反面）</w:t>
            </w:r>
          </w:p>
        </w:tc>
      </w:tr>
    </w:tbl>
    <w:p w14:paraId="623A82AC">
      <w:pPr>
        <w:spacing w:line="480" w:lineRule="auto"/>
        <w:ind w:firstLine="480" w:firstLineChars="200"/>
        <w:rPr>
          <w:rFonts w:ascii="仿宋" w:hAnsi="仿宋" w:eastAsia="仿宋"/>
          <w:sz w:val="24"/>
        </w:rPr>
      </w:pPr>
      <w:r>
        <w:rPr>
          <w:rFonts w:hint="eastAsia" w:ascii="仿宋" w:hAnsi="仿宋" w:eastAsia="仿宋"/>
          <w:sz w:val="24"/>
        </w:rPr>
        <w:t>注：此委托书一式两份，一份装订在</w:t>
      </w:r>
      <w:r>
        <w:rPr>
          <w:rFonts w:hint="eastAsia" w:ascii="仿宋" w:hAnsi="仿宋" w:eastAsia="仿宋"/>
          <w:sz w:val="24"/>
          <w:lang w:eastAsia="zh-CN"/>
        </w:rPr>
        <w:t>响应文件</w:t>
      </w:r>
      <w:r>
        <w:rPr>
          <w:rFonts w:hint="eastAsia" w:ascii="仿宋" w:hAnsi="仿宋" w:eastAsia="仿宋"/>
          <w:sz w:val="24"/>
        </w:rPr>
        <w:t>内，另一份由授权代表携带出席</w:t>
      </w:r>
      <w:r>
        <w:rPr>
          <w:rFonts w:hint="eastAsia" w:ascii="仿宋" w:hAnsi="仿宋" w:eastAsia="仿宋"/>
          <w:sz w:val="24"/>
          <w:lang w:eastAsia="zh-CN"/>
        </w:rPr>
        <w:t>唱价</w:t>
      </w:r>
      <w:r>
        <w:rPr>
          <w:rFonts w:hint="eastAsia" w:ascii="仿宋" w:hAnsi="仿宋" w:eastAsia="仿宋"/>
          <w:sz w:val="24"/>
        </w:rPr>
        <w:t>会。</w:t>
      </w:r>
    </w:p>
    <w:p w14:paraId="10A95CBD">
      <w:pPr>
        <w:widowControl/>
        <w:jc w:val="left"/>
        <w:rPr>
          <w:rFonts w:ascii="宋体" w:hAnsi="宋体"/>
          <w:b/>
          <w:sz w:val="28"/>
          <w:szCs w:val="28"/>
        </w:rPr>
      </w:pPr>
      <w:bookmarkStart w:id="876" w:name="_Toc90148941"/>
      <w:bookmarkStart w:id="877" w:name="_Toc91288870"/>
      <w:bookmarkStart w:id="878" w:name="_Toc482255099"/>
      <w:r>
        <w:rPr>
          <w:sz w:val="28"/>
          <w:szCs w:val="28"/>
        </w:rPr>
        <w:br w:type="page"/>
      </w:r>
    </w:p>
    <w:p w14:paraId="55791473">
      <w:pPr>
        <w:spacing w:line="360" w:lineRule="auto"/>
        <w:outlineLvl w:val="1"/>
        <w:rPr>
          <w:rFonts w:ascii="宋体" w:hAnsi="宋体" w:cs="Tahoma"/>
          <w:b/>
          <w:sz w:val="24"/>
        </w:rPr>
      </w:pPr>
      <w:bookmarkStart w:id="879" w:name="_Toc26722"/>
      <w:bookmarkStart w:id="880" w:name="_Toc6106"/>
      <w:r>
        <w:rPr>
          <w:rFonts w:hint="eastAsia" w:ascii="宋体" w:hAnsi="宋体" w:cs="Tahoma"/>
          <w:b/>
          <w:sz w:val="24"/>
        </w:rPr>
        <w:t>附件4 法定代表人授权委托书</w:t>
      </w:r>
      <w:bookmarkEnd w:id="876"/>
      <w:bookmarkEnd w:id="877"/>
      <w:bookmarkEnd w:id="878"/>
      <w:bookmarkEnd w:id="879"/>
      <w:bookmarkEnd w:id="880"/>
    </w:p>
    <w:p w14:paraId="17A87AFB">
      <w:pPr>
        <w:rPr>
          <w:rFonts w:ascii="宋体" w:hAnsi="宋体"/>
          <w:sz w:val="24"/>
        </w:rPr>
      </w:pPr>
    </w:p>
    <w:p w14:paraId="2F2C55E7">
      <w:pPr>
        <w:spacing w:line="360" w:lineRule="auto"/>
        <w:ind w:left="2" w:firstLine="460" w:firstLineChars="192"/>
        <w:rPr>
          <w:rFonts w:ascii="宋体" w:hAnsi="宋体"/>
          <w:sz w:val="24"/>
        </w:rPr>
      </w:pPr>
      <w:r>
        <w:rPr>
          <w:rFonts w:hint="eastAsia" w:ascii="宋体" w:hAnsi="宋体"/>
          <w:sz w:val="24"/>
        </w:rPr>
        <w:t>本授权书声明：注册于</w:t>
      </w:r>
      <w:r>
        <w:rPr>
          <w:rFonts w:hint="eastAsia" w:ascii="宋体" w:hAnsi="宋体"/>
          <w:sz w:val="24"/>
          <w:u w:val="single"/>
        </w:rPr>
        <w:t>（</w:t>
      </w:r>
      <w:r>
        <w:rPr>
          <w:rFonts w:hint="eastAsia" w:ascii="宋体" w:hAnsi="宋体"/>
          <w:sz w:val="24"/>
          <w:u w:val="single"/>
          <w:lang w:eastAsia="zh-CN"/>
        </w:rPr>
        <w:t>响应供应商</w:t>
      </w:r>
      <w:r>
        <w:rPr>
          <w:rFonts w:hint="eastAsia" w:ascii="宋体" w:hAnsi="宋体"/>
          <w:sz w:val="24"/>
          <w:u w:val="single"/>
        </w:rPr>
        <w:t>地址）</w:t>
      </w:r>
      <w:r>
        <w:rPr>
          <w:rFonts w:hint="eastAsia" w:ascii="宋体" w:hAnsi="宋体"/>
          <w:sz w:val="24"/>
        </w:rPr>
        <w:t>的</w:t>
      </w:r>
      <w:r>
        <w:rPr>
          <w:rFonts w:hint="eastAsia" w:ascii="宋体" w:hAnsi="宋体"/>
          <w:sz w:val="24"/>
          <w:u w:val="single"/>
        </w:rPr>
        <w:t>（</w:t>
      </w:r>
      <w:r>
        <w:rPr>
          <w:rFonts w:hint="eastAsia" w:ascii="宋体" w:hAnsi="宋体"/>
          <w:sz w:val="24"/>
          <w:u w:val="single"/>
          <w:lang w:eastAsia="zh-CN"/>
        </w:rPr>
        <w:t>响应供应商</w:t>
      </w:r>
      <w:r>
        <w:rPr>
          <w:rFonts w:hint="eastAsia" w:ascii="宋体" w:hAnsi="宋体"/>
          <w:sz w:val="24"/>
          <w:u w:val="single"/>
        </w:rPr>
        <w:t>名称）</w:t>
      </w:r>
      <w:r>
        <w:rPr>
          <w:rFonts w:hint="eastAsia" w:ascii="宋体" w:hAnsi="宋体"/>
          <w:sz w:val="24"/>
        </w:rPr>
        <w:t>在下面签字的（法定代表人姓名、职务）在此授权</w:t>
      </w:r>
      <w:r>
        <w:rPr>
          <w:rFonts w:hint="eastAsia" w:ascii="宋体" w:hAnsi="宋体"/>
          <w:sz w:val="24"/>
          <w:u w:val="single"/>
        </w:rPr>
        <w:t>（被授权代表姓名、职务）</w:t>
      </w:r>
      <w:r>
        <w:rPr>
          <w:rFonts w:hint="eastAsia" w:ascii="宋体" w:hAnsi="宋体"/>
          <w:sz w:val="24"/>
        </w:rPr>
        <w:t>为本公司的合法授权人，就项目编号为“</w:t>
      </w:r>
      <w:r>
        <w:rPr>
          <w:rFonts w:hint="eastAsia" w:ascii="宋体" w:cs="Tahoma"/>
          <w:bCs/>
          <w:sz w:val="24"/>
          <w:lang w:eastAsia="zh-CN"/>
        </w:rPr>
        <w:t>YL202411248</w:t>
      </w:r>
      <w:r>
        <w:rPr>
          <w:rFonts w:hint="eastAsia" w:ascii="宋体" w:hAnsi="宋体"/>
          <w:sz w:val="24"/>
        </w:rPr>
        <w:t>”</w:t>
      </w:r>
      <w:r>
        <w:rPr>
          <w:rFonts w:hint="eastAsia" w:ascii="宋体" w:hAnsi="宋体"/>
          <w:sz w:val="24"/>
          <w:shd w:val="clear" w:color="auto" w:fill="FFFFFF"/>
        </w:rPr>
        <w:t>的</w:t>
      </w:r>
      <w:r>
        <w:rPr>
          <w:rFonts w:hint="eastAsia" w:ascii="宋体" w:hAnsi="宋体"/>
          <w:sz w:val="24"/>
          <w:lang w:eastAsia="zh-CN"/>
        </w:rPr>
        <w:t>广东省粤东技师学院海天数智化综合实训基地改造工程</w:t>
      </w:r>
      <w:r>
        <w:rPr>
          <w:rFonts w:hint="eastAsia" w:ascii="宋体" w:hAnsi="宋体"/>
          <w:sz w:val="24"/>
        </w:rPr>
        <w:t>的</w:t>
      </w:r>
      <w:r>
        <w:rPr>
          <w:rFonts w:hint="eastAsia" w:ascii="宋体" w:hAnsi="宋体"/>
          <w:sz w:val="24"/>
          <w:lang w:eastAsia="zh-CN"/>
        </w:rPr>
        <w:t>响应</w:t>
      </w:r>
      <w:r>
        <w:rPr>
          <w:rFonts w:hint="eastAsia" w:ascii="宋体" w:hAnsi="宋体"/>
          <w:sz w:val="24"/>
        </w:rPr>
        <w:t>和合同执行，作为</w:t>
      </w:r>
      <w:r>
        <w:rPr>
          <w:rFonts w:hint="eastAsia" w:ascii="宋体" w:hAnsi="宋体"/>
          <w:sz w:val="24"/>
          <w:lang w:eastAsia="zh-CN"/>
        </w:rPr>
        <w:t>响应供应商</w:t>
      </w:r>
      <w:r>
        <w:rPr>
          <w:rFonts w:hint="eastAsia" w:ascii="宋体" w:hAnsi="宋体"/>
          <w:sz w:val="24"/>
        </w:rPr>
        <w:t>代表以本公司的名义处理一切与之有关的事宜。</w:t>
      </w:r>
    </w:p>
    <w:p w14:paraId="23CFB863">
      <w:pPr>
        <w:spacing w:line="360" w:lineRule="auto"/>
        <w:ind w:left="2" w:firstLine="460" w:firstLineChars="192"/>
        <w:rPr>
          <w:rFonts w:ascii="宋体" w:hAnsi="宋体"/>
          <w:sz w:val="24"/>
        </w:rPr>
      </w:pPr>
      <w:r>
        <w:rPr>
          <w:rFonts w:hint="eastAsia" w:ascii="宋体" w:hAnsi="宋体"/>
          <w:sz w:val="24"/>
        </w:rPr>
        <w:t>本授权书于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日签字生效，特此声明。</w:t>
      </w:r>
    </w:p>
    <w:p w14:paraId="7EB5B281">
      <w:pPr>
        <w:spacing w:line="360" w:lineRule="auto"/>
        <w:rPr>
          <w:rFonts w:ascii="宋体" w:hAnsi="宋体"/>
          <w:sz w:val="24"/>
        </w:rPr>
      </w:pPr>
    </w:p>
    <w:p w14:paraId="119BC746">
      <w:pPr>
        <w:spacing w:line="360" w:lineRule="auto"/>
        <w:ind w:firstLine="480" w:firstLineChars="200"/>
        <w:rPr>
          <w:rFonts w:ascii="宋体" w:hAnsi="宋体"/>
          <w:sz w:val="24"/>
        </w:rPr>
      </w:pPr>
      <w:r>
        <w:rPr>
          <w:rFonts w:hint="eastAsia" w:ascii="宋体" w:hAnsi="宋体"/>
          <w:sz w:val="24"/>
        </w:rPr>
        <w:t>单位名称（加盖公章）：</w:t>
      </w:r>
    </w:p>
    <w:p w14:paraId="55705152">
      <w:pPr>
        <w:spacing w:line="360" w:lineRule="auto"/>
        <w:ind w:firstLine="480" w:firstLineChars="200"/>
        <w:rPr>
          <w:rFonts w:ascii="宋体" w:hAnsi="宋体"/>
        </w:rPr>
      </w:pPr>
      <w:r>
        <w:rPr>
          <w:rFonts w:hint="eastAsia" w:ascii="宋体" w:hAnsi="宋体"/>
          <w:sz w:val="24"/>
        </w:rPr>
        <w:t>地址：</w:t>
      </w:r>
    </w:p>
    <w:p w14:paraId="3A883FAA">
      <w:pPr>
        <w:pStyle w:val="21"/>
        <w:spacing w:line="360" w:lineRule="auto"/>
      </w:pPr>
    </w:p>
    <w:p w14:paraId="5C716D10">
      <w:pPr>
        <w:spacing w:line="360" w:lineRule="auto"/>
        <w:ind w:firstLine="480" w:firstLineChars="200"/>
        <w:rPr>
          <w:rFonts w:ascii="宋体" w:hAnsi="宋体"/>
          <w:sz w:val="24"/>
        </w:rPr>
      </w:pPr>
      <w:r>
        <w:rPr>
          <w:rFonts w:hint="eastAsia" w:ascii="宋体" w:hAnsi="宋体"/>
          <w:sz w:val="24"/>
        </w:rPr>
        <w:t>法定代表人（签字或盖章）：</w:t>
      </w:r>
    </w:p>
    <w:p w14:paraId="702032EC">
      <w:pPr>
        <w:spacing w:line="360" w:lineRule="auto"/>
        <w:ind w:firstLine="480" w:firstLineChars="200"/>
        <w:rPr>
          <w:rFonts w:ascii="宋体" w:hAnsi="宋体"/>
          <w:sz w:val="24"/>
        </w:rPr>
      </w:pPr>
      <w:r>
        <w:rPr>
          <w:rFonts w:hint="eastAsia" w:ascii="宋体" w:hAnsi="宋体"/>
          <w:sz w:val="24"/>
        </w:rPr>
        <w:t>职务：</w:t>
      </w:r>
    </w:p>
    <w:p w14:paraId="0B182527">
      <w:pPr>
        <w:spacing w:line="360" w:lineRule="auto"/>
        <w:rPr>
          <w:rFonts w:ascii="宋体" w:hAnsi="宋体"/>
          <w:sz w:val="24"/>
        </w:rPr>
      </w:pPr>
    </w:p>
    <w:p w14:paraId="5A5AE15D">
      <w:pPr>
        <w:spacing w:line="360" w:lineRule="auto"/>
        <w:ind w:firstLine="480" w:firstLineChars="200"/>
        <w:rPr>
          <w:rFonts w:ascii="宋体" w:hAnsi="宋体"/>
          <w:sz w:val="24"/>
        </w:rPr>
      </w:pPr>
      <w:r>
        <w:rPr>
          <w:rFonts w:hint="eastAsia" w:ascii="宋体" w:hAnsi="宋体"/>
          <w:sz w:val="24"/>
        </w:rPr>
        <w:t>响应供应商（被授权人）签字：</w:t>
      </w:r>
    </w:p>
    <w:p w14:paraId="08135B5F">
      <w:pPr>
        <w:spacing w:line="360" w:lineRule="auto"/>
        <w:ind w:firstLine="480" w:firstLineChars="200"/>
        <w:rPr>
          <w:rFonts w:ascii="宋体" w:hAnsi="宋体"/>
        </w:rPr>
      </w:pPr>
      <w:r>
        <w:rPr>
          <w:rFonts w:hint="eastAsia" w:ascii="宋体" w:hAnsi="宋体"/>
          <w:sz w:val="24"/>
        </w:rPr>
        <w:t>职务：</w:t>
      </w:r>
    </w:p>
    <w:p w14:paraId="0A09A755">
      <w:pPr>
        <w:spacing w:line="360" w:lineRule="auto"/>
        <w:rPr>
          <w:rFonts w:ascii="宋体" w:hAnsi="宋体"/>
          <w:sz w:val="24"/>
        </w:rPr>
      </w:pPr>
    </w:p>
    <w:tbl>
      <w:tblPr>
        <w:tblStyle w:val="50"/>
        <w:tblW w:w="5000" w:type="pct"/>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9962"/>
      </w:tblGrid>
      <w:tr w14:paraId="1A41413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trHeight w:val="3535" w:hRule="atLeast"/>
        </w:trPr>
        <w:tc>
          <w:tcPr>
            <w:tcW w:w="5000" w:type="pct"/>
            <w:vAlign w:val="center"/>
          </w:tcPr>
          <w:p w14:paraId="3C1A28E5">
            <w:pPr>
              <w:pStyle w:val="81"/>
              <w:ind w:left="105"/>
              <w:jc w:val="center"/>
              <w:rPr>
                <w:b/>
              </w:rPr>
            </w:pPr>
            <w:r>
              <w:rPr>
                <w:rFonts w:hint="eastAsia"/>
                <w:b/>
              </w:rPr>
              <w:t>被授权人（授权代表）</w:t>
            </w:r>
          </w:p>
          <w:p w14:paraId="7CEFB9B3">
            <w:pPr>
              <w:pStyle w:val="81"/>
              <w:ind w:left="105"/>
              <w:jc w:val="center"/>
            </w:pPr>
            <w:r>
              <w:rPr>
                <w:rFonts w:hint="eastAsia"/>
                <w:b/>
              </w:rPr>
              <w:t>居民身份证复印件粘贴处（正、反面）</w:t>
            </w:r>
          </w:p>
        </w:tc>
      </w:tr>
    </w:tbl>
    <w:p w14:paraId="6F45985C">
      <w:pPr>
        <w:spacing w:line="480" w:lineRule="auto"/>
        <w:ind w:firstLine="480" w:firstLineChars="200"/>
        <w:rPr>
          <w:rFonts w:ascii="仿宋" w:hAnsi="仿宋" w:eastAsia="仿宋"/>
          <w:sz w:val="24"/>
        </w:rPr>
      </w:pPr>
      <w:r>
        <w:rPr>
          <w:rFonts w:hint="eastAsia" w:ascii="仿宋" w:hAnsi="仿宋" w:eastAsia="仿宋"/>
          <w:sz w:val="24"/>
        </w:rPr>
        <w:t>注：此委托书一式两份，一份装订在</w:t>
      </w:r>
      <w:r>
        <w:rPr>
          <w:rFonts w:hint="eastAsia" w:ascii="仿宋" w:hAnsi="仿宋" w:eastAsia="仿宋"/>
          <w:sz w:val="24"/>
          <w:lang w:eastAsia="zh-CN"/>
        </w:rPr>
        <w:t>响应文件</w:t>
      </w:r>
      <w:r>
        <w:rPr>
          <w:rFonts w:hint="eastAsia" w:ascii="仿宋" w:hAnsi="仿宋" w:eastAsia="仿宋"/>
          <w:sz w:val="24"/>
        </w:rPr>
        <w:t>内，另一份由授权代表携带出席遴选会。</w:t>
      </w:r>
    </w:p>
    <w:p w14:paraId="6774C14D">
      <w:pPr>
        <w:spacing w:line="480" w:lineRule="auto"/>
        <w:ind w:firstLine="480" w:firstLineChars="200"/>
        <w:rPr>
          <w:rFonts w:ascii="仿宋" w:hAnsi="仿宋" w:eastAsia="仿宋"/>
          <w:sz w:val="24"/>
        </w:rPr>
      </w:pPr>
      <w:r>
        <w:rPr>
          <w:rFonts w:hint="eastAsia" w:ascii="仿宋" w:hAnsi="仿宋" w:eastAsia="仿宋"/>
          <w:sz w:val="24"/>
        </w:rPr>
        <w:t>说明：法定代表人亲自办理</w:t>
      </w:r>
      <w:r>
        <w:rPr>
          <w:rFonts w:hint="eastAsia" w:ascii="仿宋" w:hAnsi="仿宋" w:eastAsia="仿宋"/>
          <w:sz w:val="24"/>
          <w:lang w:eastAsia="zh-CN"/>
        </w:rPr>
        <w:t>响应</w:t>
      </w:r>
      <w:r>
        <w:rPr>
          <w:rFonts w:hint="eastAsia" w:ascii="仿宋" w:hAnsi="仿宋" w:eastAsia="仿宋"/>
          <w:sz w:val="24"/>
        </w:rPr>
        <w:t>事宜的，则无需提交法定代表人授权委托书。</w:t>
      </w:r>
    </w:p>
    <w:p w14:paraId="4D0EA2D8">
      <w:pPr>
        <w:spacing w:line="360" w:lineRule="auto"/>
        <w:outlineLvl w:val="1"/>
        <w:rPr>
          <w:sz w:val="28"/>
          <w:szCs w:val="28"/>
        </w:rPr>
      </w:pPr>
      <w:r>
        <w:rPr>
          <w:bCs/>
        </w:rPr>
        <w:br w:type="page"/>
      </w:r>
      <w:bookmarkStart w:id="881" w:name="_Toc9159"/>
      <w:bookmarkStart w:id="882" w:name="_Toc90148942"/>
      <w:bookmarkStart w:id="883" w:name="_Toc14790"/>
      <w:bookmarkStart w:id="884" w:name="_Toc91288871"/>
      <w:bookmarkStart w:id="885" w:name="_Toc482255101"/>
      <w:r>
        <w:rPr>
          <w:rFonts w:hint="eastAsia" w:ascii="宋体" w:hAnsi="宋体" w:cs="Tahoma"/>
          <w:b/>
          <w:sz w:val="24"/>
        </w:rPr>
        <w:t>附件5 采购需求书响应表</w:t>
      </w:r>
      <w:bookmarkEnd w:id="881"/>
      <w:bookmarkEnd w:id="882"/>
      <w:bookmarkEnd w:id="883"/>
      <w:bookmarkEnd w:id="884"/>
      <w:bookmarkEnd w:id="885"/>
    </w:p>
    <w:tbl>
      <w:tblPr>
        <w:tblStyle w:val="50"/>
        <w:tblW w:w="971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85" w:type="dxa"/>
          <w:left w:w="28" w:type="dxa"/>
          <w:bottom w:w="85" w:type="dxa"/>
          <w:right w:w="28" w:type="dxa"/>
        </w:tblCellMar>
      </w:tblPr>
      <w:tblGrid>
        <w:gridCol w:w="672"/>
        <w:gridCol w:w="3119"/>
        <w:gridCol w:w="3424"/>
        <w:gridCol w:w="2500"/>
      </w:tblGrid>
      <w:tr w14:paraId="3AE5A2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85" w:type="dxa"/>
            <w:left w:w="28" w:type="dxa"/>
            <w:bottom w:w="85" w:type="dxa"/>
            <w:right w:w="28" w:type="dxa"/>
          </w:tblCellMar>
        </w:tblPrEx>
        <w:trPr>
          <w:trHeight w:val="868" w:hRule="atLeast"/>
          <w:jc w:val="center"/>
        </w:trPr>
        <w:tc>
          <w:tcPr>
            <w:tcW w:w="672" w:type="dxa"/>
            <w:shd w:val="clear" w:color="auto" w:fill="D9D9D9"/>
            <w:vAlign w:val="center"/>
          </w:tcPr>
          <w:p w14:paraId="3E272BE2">
            <w:pPr>
              <w:jc w:val="center"/>
              <w:rPr>
                <w:rFonts w:ascii="宋体" w:hAnsi="宋体"/>
                <w:b/>
                <w:bCs/>
                <w:sz w:val="24"/>
                <w:szCs w:val="24"/>
              </w:rPr>
            </w:pPr>
            <w:r>
              <w:rPr>
                <w:rFonts w:hint="eastAsia" w:ascii="宋体" w:hAnsi="宋体"/>
                <w:b/>
                <w:bCs/>
                <w:sz w:val="24"/>
                <w:szCs w:val="24"/>
              </w:rPr>
              <w:t>序号</w:t>
            </w:r>
          </w:p>
        </w:tc>
        <w:tc>
          <w:tcPr>
            <w:tcW w:w="3119" w:type="dxa"/>
            <w:shd w:val="clear" w:color="auto" w:fill="D9D9D9"/>
            <w:vAlign w:val="center"/>
          </w:tcPr>
          <w:p w14:paraId="3EDCF4E0">
            <w:pPr>
              <w:jc w:val="center"/>
              <w:rPr>
                <w:rFonts w:ascii="宋体" w:hAnsi="宋体"/>
                <w:b/>
                <w:bCs/>
                <w:sz w:val="24"/>
                <w:szCs w:val="24"/>
              </w:rPr>
            </w:pPr>
            <w:r>
              <w:rPr>
                <w:rFonts w:hint="eastAsia" w:ascii="宋体" w:hAnsi="宋体"/>
                <w:b/>
                <w:bCs/>
                <w:sz w:val="24"/>
                <w:szCs w:val="24"/>
              </w:rPr>
              <w:t>采购需求书要求</w:t>
            </w:r>
          </w:p>
        </w:tc>
        <w:tc>
          <w:tcPr>
            <w:tcW w:w="3424" w:type="dxa"/>
            <w:shd w:val="clear" w:color="auto" w:fill="D9D9D9"/>
            <w:vAlign w:val="center"/>
          </w:tcPr>
          <w:p w14:paraId="0108FC59">
            <w:pPr>
              <w:jc w:val="center"/>
              <w:rPr>
                <w:rFonts w:ascii="宋体" w:hAnsi="宋体"/>
                <w:b/>
                <w:sz w:val="24"/>
                <w:szCs w:val="24"/>
              </w:rPr>
            </w:pPr>
            <w:r>
              <w:rPr>
                <w:rFonts w:hint="eastAsia" w:ascii="宋体" w:hAnsi="宋体"/>
                <w:b/>
                <w:sz w:val="24"/>
                <w:szCs w:val="24"/>
                <w:lang w:eastAsia="zh-CN"/>
              </w:rPr>
              <w:t>响应供应商</w:t>
            </w:r>
            <w:r>
              <w:rPr>
                <w:rFonts w:hint="eastAsia" w:ascii="宋体" w:hAnsi="宋体"/>
                <w:b/>
                <w:sz w:val="24"/>
                <w:szCs w:val="24"/>
              </w:rPr>
              <w:t>响应情况描述</w:t>
            </w:r>
          </w:p>
        </w:tc>
        <w:tc>
          <w:tcPr>
            <w:tcW w:w="2500" w:type="dxa"/>
            <w:shd w:val="clear" w:color="auto" w:fill="D9D9D9"/>
            <w:vAlign w:val="center"/>
          </w:tcPr>
          <w:p w14:paraId="4747A41C">
            <w:pPr>
              <w:jc w:val="center"/>
              <w:rPr>
                <w:rFonts w:ascii="宋体" w:hAnsi="宋体"/>
                <w:b/>
                <w:sz w:val="24"/>
                <w:szCs w:val="24"/>
              </w:rPr>
            </w:pPr>
            <w:r>
              <w:rPr>
                <w:rFonts w:hint="eastAsia" w:ascii="宋体" w:hAnsi="宋体"/>
                <w:b/>
                <w:sz w:val="24"/>
                <w:szCs w:val="24"/>
              </w:rPr>
              <w:t>偏离说明（正偏离/完全响应/负偏离）</w:t>
            </w:r>
          </w:p>
        </w:tc>
      </w:tr>
      <w:tr w14:paraId="174EC8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85" w:type="dxa"/>
            <w:left w:w="28" w:type="dxa"/>
            <w:bottom w:w="85" w:type="dxa"/>
            <w:right w:w="28" w:type="dxa"/>
          </w:tblCellMar>
        </w:tblPrEx>
        <w:trPr>
          <w:trHeight w:val="360" w:hRule="atLeast"/>
          <w:jc w:val="center"/>
        </w:trPr>
        <w:tc>
          <w:tcPr>
            <w:tcW w:w="672" w:type="dxa"/>
            <w:vAlign w:val="center"/>
          </w:tcPr>
          <w:p w14:paraId="005D57C9">
            <w:pPr>
              <w:jc w:val="center"/>
              <w:rPr>
                <w:rFonts w:ascii="宋体" w:hAnsi="宋体"/>
                <w:bCs/>
                <w:sz w:val="24"/>
                <w:szCs w:val="24"/>
              </w:rPr>
            </w:pPr>
          </w:p>
        </w:tc>
        <w:tc>
          <w:tcPr>
            <w:tcW w:w="3119" w:type="dxa"/>
            <w:vAlign w:val="center"/>
          </w:tcPr>
          <w:p w14:paraId="091E1B9A">
            <w:pPr>
              <w:rPr>
                <w:rFonts w:ascii="宋体" w:hAnsi="宋体"/>
                <w:bCs/>
                <w:sz w:val="24"/>
                <w:szCs w:val="24"/>
              </w:rPr>
            </w:pPr>
          </w:p>
        </w:tc>
        <w:tc>
          <w:tcPr>
            <w:tcW w:w="3424" w:type="dxa"/>
            <w:vAlign w:val="center"/>
          </w:tcPr>
          <w:p w14:paraId="09D0521D">
            <w:pPr>
              <w:rPr>
                <w:rFonts w:ascii="宋体" w:hAnsi="宋体"/>
                <w:bCs/>
                <w:szCs w:val="21"/>
              </w:rPr>
            </w:pPr>
          </w:p>
        </w:tc>
        <w:tc>
          <w:tcPr>
            <w:tcW w:w="2500" w:type="dxa"/>
            <w:vAlign w:val="center"/>
          </w:tcPr>
          <w:p w14:paraId="20D46C82">
            <w:pPr>
              <w:rPr>
                <w:rFonts w:ascii="宋体" w:hAnsi="宋体"/>
                <w:bCs/>
                <w:szCs w:val="21"/>
              </w:rPr>
            </w:pPr>
          </w:p>
        </w:tc>
      </w:tr>
      <w:tr w14:paraId="1A8D74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85" w:type="dxa"/>
            <w:left w:w="28" w:type="dxa"/>
            <w:bottom w:w="85" w:type="dxa"/>
            <w:right w:w="28" w:type="dxa"/>
          </w:tblCellMar>
        </w:tblPrEx>
        <w:trPr>
          <w:trHeight w:val="360" w:hRule="atLeast"/>
          <w:jc w:val="center"/>
        </w:trPr>
        <w:tc>
          <w:tcPr>
            <w:tcW w:w="672" w:type="dxa"/>
            <w:vAlign w:val="center"/>
          </w:tcPr>
          <w:p w14:paraId="0B0CE2E3">
            <w:pPr>
              <w:jc w:val="center"/>
              <w:rPr>
                <w:rFonts w:ascii="宋体" w:hAnsi="宋体"/>
                <w:bCs/>
                <w:sz w:val="24"/>
                <w:szCs w:val="24"/>
              </w:rPr>
            </w:pPr>
          </w:p>
        </w:tc>
        <w:tc>
          <w:tcPr>
            <w:tcW w:w="3119" w:type="dxa"/>
            <w:vAlign w:val="center"/>
          </w:tcPr>
          <w:p w14:paraId="39A09E13">
            <w:pPr>
              <w:rPr>
                <w:rFonts w:ascii="宋体" w:hAnsi="宋体"/>
                <w:bCs/>
                <w:sz w:val="24"/>
                <w:szCs w:val="24"/>
              </w:rPr>
            </w:pPr>
          </w:p>
        </w:tc>
        <w:tc>
          <w:tcPr>
            <w:tcW w:w="3424" w:type="dxa"/>
            <w:vAlign w:val="center"/>
          </w:tcPr>
          <w:p w14:paraId="4A0D9A25">
            <w:pPr>
              <w:rPr>
                <w:rFonts w:ascii="宋体" w:hAnsi="宋体"/>
                <w:bCs/>
                <w:szCs w:val="21"/>
              </w:rPr>
            </w:pPr>
          </w:p>
        </w:tc>
        <w:tc>
          <w:tcPr>
            <w:tcW w:w="2500" w:type="dxa"/>
            <w:vAlign w:val="center"/>
          </w:tcPr>
          <w:p w14:paraId="77B08FD9">
            <w:pPr>
              <w:rPr>
                <w:rFonts w:ascii="宋体" w:hAnsi="宋体"/>
                <w:bCs/>
                <w:szCs w:val="21"/>
              </w:rPr>
            </w:pPr>
          </w:p>
        </w:tc>
      </w:tr>
      <w:tr w14:paraId="3970A5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85" w:type="dxa"/>
            <w:left w:w="28" w:type="dxa"/>
            <w:bottom w:w="85" w:type="dxa"/>
            <w:right w:w="28" w:type="dxa"/>
          </w:tblCellMar>
        </w:tblPrEx>
        <w:trPr>
          <w:trHeight w:val="360" w:hRule="atLeast"/>
          <w:jc w:val="center"/>
        </w:trPr>
        <w:tc>
          <w:tcPr>
            <w:tcW w:w="672" w:type="dxa"/>
            <w:vAlign w:val="center"/>
          </w:tcPr>
          <w:p w14:paraId="115B42AD">
            <w:pPr>
              <w:jc w:val="center"/>
              <w:rPr>
                <w:rFonts w:ascii="宋体" w:hAnsi="宋体"/>
                <w:bCs/>
                <w:sz w:val="24"/>
                <w:szCs w:val="24"/>
              </w:rPr>
            </w:pPr>
          </w:p>
        </w:tc>
        <w:tc>
          <w:tcPr>
            <w:tcW w:w="3119" w:type="dxa"/>
            <w:vAlign w:val="center"/>
          </w:tcPr>
          <w:p w14:paraId="7463F6B2">
            <w:pPr>
              <w:rPr>
                <w:rFonts w:ascii="宋体" w:hAnsi="宋体"/>
                <w:bCs/>
                <w:sz w:val="24"/>
                <w:szCs w:val="24"/>
              </w:rPr>
            </w:pPr>
          </w:p>
        </w:tc>
        <w:tc>
          <w:tcPr>
            <w:tcW w:w="3424" w:type="dxa"/>
            <w:vAlign w:val="center"/>
          </w:tcPr>
          <w:p w14:paraId="008D389B">
            <w:pPr>
              <w:rPr>
                <w:rFonts w:ascii="宋体" w:hAnsi="宋体"/>
                <w:bCs/>
                <w:szCs w:val="21"/>
              </w:rPr>
            </w:pPr>
          </w:p>
        </w:tc>
        <w:tc>
          <w:tcPr>
            <w:tcW w:w="2500" w:type="dxa"/>
            <w:vAlign w:val="center"/>
          </w:tcPr>
          <w:p w14:paraId="2DCBA0D6">
            <w:pPr>
              <w:rPr>
                <w:rFonts w:ascii="宋体" w:hAnsi="宋体"/>
                <w:bCs/>
                <w:szCs w:val="21"/>
              </w:rPr>
            </w:pPr>
          </w:p>
        </w:tc>
      </w:tr>
      <w:tr w14:paraId="441324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85" w:type="dxa"/>
            <w:left w:w="28" w:type="dxa"/>
            <w:bottom w:w="85" w:type="dxa"/>
            <w:right w:w="28" w:type="dxa"/>
          </w:tblCellMar>
        </w:tblPrEx>
        <w:trPr>
          <w:trHeight w:val="360" w:hRule="atLeast"/>
          <w:jc w:val="center"/>
        </w:trPr>
        <w:tc>
          <w:tcPr>
            <w:tcW w:w="672" w:type="dxa"/>
            <w:vAlign w:val="center"/>
          </w:tcPr>
          <w:p w14:paraId="6910021A">
            <w:pPr>
              <w:jc w:val="center"/>
              <w:rPr>
                <w:rFonts w:ascii="宋体" w:hAnsi="宋体"/>
                <w:b/>
                <w:bCs/>
                <w:sz w:val="24"/>
                <w:szCs w:val="24"/>
              </w:rPr>
            </w:pPr>
            <w:r>
              <w:rPr>
                <w:rFonts w:hint="eastAsia" w:ascii="宋体" w:hAnsi="宋体"/>
                <w:b/>
                <w:bCs/>
                <w:sz w:val="24"/>
                <w:szCs w:val="24"/>
              </w:rPr>
              <w:t>…</w:t>
            </w:r>
          </w:p>
        </w:tc>
        <w:tc>
          <w:tcPr>
            <w:tcW w:w="3119" w:type="dxa"/>
            <w:vAlign w:val="center"/>
          </w:tcPr>
          <w:p w14:paraId="27378F38">
            <w:pPr>
              <w:rPr>
                <w:rFonts w:ascii="宋体" w:hAnsi="宋体"/>
                <w:b/>
                <w:bCs/>
                <w:sz w:val="24"/>
                <w:szCs w:val="24"/>
              </w:rPr>
            </w:pPr>
          </w:p>
        </w:tc>
        <w:tc>
          <w:tcPr>
            <w:tcW w:w="3424" w:type="dxa"/>
            <w:vAlign w:val="center"/>
          </w:tcPr>
          <w:p w14:paraId="3F8A3380">
            <w:pPr>
              <w:rPr>
                <w:rFonts w:ascii="宋体" w:hAnsi="宋体"/>
                <w:bCs/>
                <w:szCs w:val="21"/>
              </w:rPr>
            </w:pPr>
          </w:p>
        </w:tc>
        <w:tc>
          <w:tcPr>
            <w:tcW w:w="2500" w:type="dxa"/>
            <w:vAlign w:val="center"/>
          </w:tcPr>
          <w:p w14:paraId="77DDFECB">
            <w:pPr>
              <w:rPr>
                <w:rFonts w:ascii="宋体" w:hAnsi="宋体"/>
                <w:bCs/>
                <w:szCs w:val="21"/>
              </w:rPr>
            </w:pPr>
          </w:p>
        </w:tc>
      </w:tr>
    </w:tbl>
    <w:p w14:paraId="0D194DD6">
      <w:pPr>
        <w:adjustRightInd w:val="0"/>
        <w:snapToGrid w:val="0"/>
        <w:spacing w:line="360" w:lineRule="auto"/>
        <w:ind w:firstLine="480" w:firstLineChars="200"/>
        <w:rPr>
          <w:rFonts w:ascii="仿宋" w:hAnsi="仿宋" w:eastAsia="仿宋"/>
          <w:color w:val="000000"/>
          <w:sz w:val="24"/>
          <w:szCs w:val="21"/>
        </w:rPr>
      </w:pPr>
      <w:r>
        <w:rPr>
          <w:rFonts w:hint="eastAsia" w:ascii="仿宋" w:hAnsi="仿宋" w:eastAsia="仿宋"/>
          <w:color w:val="000000"/>
          <w:sz w:val="24"/>
          <w:szCs w:val="21"/>
        </w:rPr>
        <w:t>注：</w:t>
      </w:r>
      <w:r>
        <w:rPr>
          <w:rFonts w:hint="eastAsia" w:ascii="仿宋" w:hAnsi="仿宋" w:eastAsia="仿宋"/>
          <w:color w:val="000000"/>
          <w:sz w:val="24"/>
        </w:rPr>
        <w:t>标有“★”的条款均为必须完全满足指标，</w:t>
      </w:r>
      <w:r>
        <w:rPr>
          <w:rFonts w:hint="eastAsia" w:ascii="仿宋" w:hAnsi="仿宋" w:eastAsia="仿宋"/>
          <w:color w:val="000000"/>
          <w:sz w:val="24"/>
          <w:lang w:eastAsia="zh-CN"/>
        </w:rPr>
        <w:t>响应供应商</w:t>
      </w:r>
      <w:r>
        <w:rPr>
          <w:rFonts w:hint="eastAsia" w:ascii="仿宋" w:hAnsi="仿宋" w:eastAsia="仿宋"/>
          <w:color w:val="000000"/>
          <w:sz w:val="24"/>
        </w:rPr>
        <w:t>须进行实质性响应，</w:t>
      </w:r>
      <w:r>
        <w:rPr>
          <w:rFonts w:hint="eastAsia" w:ascii="仿宋" w:hAnsi="仿宋" w:eastAsia="仿宋"/>
          <w:color w:val="000000"/>
          <w:sz w:val="24"/>
          <w:lang w:eastAsia="zh-CN"/>
        </w:rPr>
        <w:t>响应供应商</w:t>
      </w:r>
      <w:r>
        <w:rPr>
          <w:rFonts w:hint="eastAsia" w:ascii="仿宋" w:hAnsi="仿宋" w:eastAsia="仿宋"/>
          <w:color w:val="000000"/>
          <w:sz w:val="24"/>
        </w:rPr>
        <w:t>若有一项带“★”的条款未响应或负偏离，将被确定为响应无效。</w:t>
      </w:r>
    </w:p>
    <w:p w14:paraId="2B7F63B1">
      <w:pPr>
        <w:spacing w:line="360" w:lineRule="auto"/>
        <w:rPr>
          <w:rFonts w:ascii="宋体" w:hAnsi="宋体"/>
          <w:bCs/>
          <w:szCs w:val="21"/>
        </w:rPr>
      </w:pPr>
    </w:p>
    <w:p w14:paraId="1596E7D5">
      <w:pPr>
        <w:spacing w:line="480" w:lineRule="auto"/>
        <w:jc w:val="right"/>
        <w:rPr>
          <w:rFonts w:ascii="宋体" w:hAnsi="宋体"/>
          <w:bCs/>
          <w:szCs w:val="21"/>
        </w:rPr>
      </w:pPr>
    </w:p>
    <w:p w14:paraId="42D6ADFC">
      <w:pPr>
        <w:spacing w:line="360" w:lineRule="auto"/>
        <w:ind w:firstLine="480"/>
        <w:rPr>
          <w:rFonts w:ascii="宋体" w:hAnsi="宋体"/>
          <w:sz w:val="24"/>
        </w:rPr>
      </w:pPr>
      <w:r>
        <w:rPr>
          <w:rFonts w:hint="eastAsia" w:ascii="宋体" w:hAnsi="宋体"/>
          <w:sz w:val="24"/>
          <w:lang w:eastAsia="zh-CN"/>
        </w:rPr>
        <w:t>响应供应商</w:t>
      </w:r>
      <w:r>
        <w:rPr>
          <w:rFonts w:hint="eastAsia" w:ascii="宋体" w:hAnsi="宋体"/>
          <w:sz w:val="24"/>
        </w:rPr>
        <w:t>全称（盖公章）：</w:t>
      </w:r>
    </w:p>
    <w:p w14:paraId="2439A35C">
      <w:pPr>
        <w:spacing w:line="360" w:lineRule="auto"/>
        <w:ind w:firstLine="480"/>
        <w:rPr>
          <w:rFonts w:ascii="宋体" w:hAnsi="宋体"/>
          <w:sz w:val="24"/>
        </w:rPr>
      </w:pPr>
      <w:r>
        <w:rPr>
          <w:rFonts w:hint="eastAsia" w:ascii="宋体" w:hAnsi="宋体"/>
          <w:sz w:val="24"/>
        </w:rPr>
        <w:t>法定代表人或授权代表（签名或盖章）：</w:t>
      </w:r>
    </w:p>
    <w:p w14:paraId="6720E7D1">
      <w:pPr>
        <w:spacing w:line="360" w:lineRule="auto"/>
        <w:ind w:firstLine="480"/>
        <w:rPr>
          <w:rFonts w:ascii="宋体" w:hAnsi="宋体"/>
          <w:sz w:val="24"/>
        </w:rPr>
      </w:pPr>
      <w:r>
        <w:rPr>
          <w:rFonts w:hint="eastAsia" w:ascii="宋体" w:hAnsi="宋体"/>
          <w:sz w:val="24"/>
        </w:rPr>
        <w:t>日    期：     年   月   日</w:t>
      </w:r>
      <w:bookmarkStart w:id="886" w:name="_Toc482255102"/>
    </w:p>
    <w:bookmarkEnd w:id="886"/>
    <w:p w14:paraId="65619F7C">
      <w:bookmarkStart w:id="887" w:name="_Toc482255103"/>
      <w:bookmarkStart w:id="888" w:name="_Toc82872292"/>
      <w:bookmarkStart w:id="889" w:name="_Toc69744712"/>
      <w:bookmarkStart w:id="890" w:name="_Toc488303960"/>
    </w:p>
    <w:p w14:paraId="58108C6A">
      <w:pPr>
        <w:widowControl/>
        <w:jc w:val="left"/>
      </w:pPr>
    </w:p>
    <w:p w14:paraId="5BD033B2"/>
    <w:p w14:paraId="39822067">
      <w:pPr>
        <w:spacing w:line="360" w:lineRule="auto"/>
        <w:outlineLvl w:val="1"/>
        <w:rPr>
          <w:rFonts w:ascii="宋体" w:hAnsi="宋体" w:cs="Tahoma"/>
          <w:b/>
          <w:sz w:val="24"/>
        </w:rPr>
      </w:pPr>
      <w:bookmarkStart w:id="891" w:name="_Toc6222"/>
      <w:bookmarkStart w:id="892" w:name="_Toc25737"/>
      <w:bookmarkStart w:id="893" w:name="_Toc91288872"/>
      <w:bookmarkStart w:id="894" w:name="_Toc90148943"/>
      <w:r>
        <w:rPr>
          <w:rFonts w:ascii="宋体" w:hAnsi="宋体" w:cs="Tahoma"/>
          <w:b/>
          <w:sz w:val="24"/>
        </w:rPr>
        <w:t>附件</w:t>
      </w:r>
      <w:r>
        <w:rPr>
          <w:rFonts w:hint="eastAsia" w:ascii="宋体" w:hAnsi="宋体" w:cs="Tahoma"/>
          <w:b/>
          <w:sz w:val="24"/>
          <w:lang w:val="en-US" w:eastAsia="zh-CN"/>
        </w:rPr>
        <w:t>6</w:t>
      </w:r>
      <w:r>
        <w:rPr>
          <w:rFonts w:hint="eastAsia" w:ascii="宋体" w:hAnsi="宋体" w:cs="Tahoma"/>
          <w:b/>
          <w:sz w:val="24"/>
        </w:rPr>
        <w:t xml:space="preserve"> 交纳服务费承诺书</w:t>
      </w:r>
      <w:bookmarkEnd w:id="887"/>
      <w:bookmarkEnd w:id="888"/>
      <w:bookmarkEnd w:id="889"/>
      <w:bookmarkEnd w:id="891"/>
      <w:bookmarkEnd w:id="892"/>
      <w:bookmarkEnd w:id="893"/>
      <w:bookmarkEnd w:id="894"/>
    </w:p>
    <w:p w14:paraId="35796FE0"/>
    <w:p w14:paraId="0C4A876A">
      <w:pPr>
        <w:spacing w:line="360" w:lineRule="auto"/>
        <w:rPr>
          <w:rFonts w:ascii="宋体"/>
          <w:sz w:val="24"/>
        </w:rPr>
      </w:pPr>
      <w:r>
        <w:rPr>
          <w:rFonts w:hint="eastAsia" w:ascii="宋体"/>
          <w:b/>
          <w:sz w:val="24"/>
        </w:rPr>
        <w:t>致：粤廉（广东）招标代理有限公司</w:t>
      </w:r>
    </w:p>
    <w:p w14:paraId="52E1293E">
      <w:pPr>
        <w:spacing w:line="360" w:lineRule="auto"/>
        <w:ind w:firstLine="480" w:firstLineChars="200"/>
        <w:rPr>
          <w:rFonts w:ascii="宋体"/>
          <w:sz w:val="24"/>
          <w:szCs w:val="24"/>
        </w:rPr>
      </w:pPr>
      <w:r>
        <w:rPr>
          <w:rFonts w:hint="eastAsia" w:ascii="宋体"/>
          <w:sz w:val="24"/>
          <w:szCs w:val="24"/>
        </w:rPr>
        <w:t>如果我方在贵公司组织的</w:t>
      </w:r>
      <w:r>
        <w:rPr>
          <w:rFonts w:hint="eastAsia" w:ascii="宋体" w:hAnsi="宋体" w:cs="Tahoma"/>
          <w:sz w:val="24"/>
          <w:lang w:eastAsia="zh-CN"/>
        </w:rPr>
        <w:t>广东省粤东技师学院海天数智化综合实训基地改造工程</w:t>
      </w:r>
      <w:r>
        <w:rPr>
          <w:rFonts w:hint="eastAsia" w:ascii="宋体" w:hAnsi="宋体"/>
          <w:sz w:val="24"/>
        </w:rPr>
        <w:t>（项目编号：</w:t>
      </w:r>
      <w:r>
        <w:rPr>
          <w:rFonts w:hint="eastAsia" w:ascii="宋体" w:cs="Tahoma"/>
          <w:bCs/>
          <w:sz w:val="24"/>
          <w:lang w:eastAsia="zh-CN"/>
        </w:rPr>
        <w:t>YL202411248</w:t>
      </w:r>
      <w:r>
        <w:rPr>
          <w:rFonts w:hint="eastAsia" w:ascii="宋体" w:hAnsi="宋体"/>
          <w:sz w:val="24"/>
        </w:rPr>
        <w:t>）</w:t>
      </w:r>
      <w:r>
        <w:rPr>
          <w:rFonts w:hint="eastAsia" w:ascii="宋体"/>
          <w:sz w:val="24"/>
          <w:szCs w:val="24"/>
        </w:rPr>
        <w:t>中获</w:t>
      </w:r>
      <w:r>
        <w:rPr>
          <w:rFonts w:hint="eastAsia" w:ascii="宋体"/>
          <w:sz w:val="24"/>
          <w:szCs w:val="24"/>
          <w:lang w:val="en-US" w:eastAsia="zh-CN"/>
        </w:rPr>
        <w:t>成交</w:t>
      </w:r>
      <w:r>
        <w:rPr>
          <w:rFonts w:hint="eastAsia" w:ascii="宋体"/>
          <w:sz w:val="24"/>
          <w:szCs w:val="24"/>
        </w:rPr>
        <w:t>，我方保证在收到《缴费通知》后</w:t>
      </w:r>
      <w:r>
        <w:rPr>
          <w:rFonts w:hint="eastAsia" w:ascii="宋体"/>
          <w:sz w:val="24"/>
        </w:rPr>
        <w:t>五个工作日内，</w:t>
      </w:r>
      <w:r>
        <w:rPr>
          <w:rFonts w:hint="eastAsia" w:ascii="宋体"/>
          <w:sz w:val="24"/>
          <w:szCs w:val="24"/>
        </w:rPr>
        <w:t>按</w:t>
      </w:r>
      <w:r>
        <w:rPr>
          <w:rFonts w:hint="eastAsia" w:ascii="宋体"/>
          <w:sz w:val="24"/>
        </w:rPr>
        <w:t>照</w:t>
      </w:r>
      <w:r>
        <w:rPr>
          <w:rFonts w:hint="eastAsia" w:ascii="宋体"/>
          <w:sz w:val="24"/>
          <w:szCs w:val="24"/>
          <w:lang w:eastAsia="zh-CN"/>
        </w:rPr>
        <w:t>遴选文件</w:t>
      </w:r>
      <w:r>
        <w:rPr>
          <w:rFonts w:hint="eastAsia" w:ascii="宋体"/>
          <w:sz w:val="24"/>
        </w:rPr>
        <w:t>的</w:t>
      </w:r>
      <w:r>
        <w:rPr>
          <w:rFonts w:hint="eastAsia" w:ascii="宋体"/>
          <w:sz w:val="24"/>
          <w:szCs w:val="24"/>
        </w:rPr>
        <w:t>规定向贵公司交纳</w:t>
      </w:r>
      <w:r>
        <w:rPr>
          <w:rFonts w:hint="eastAsia" w:ascii="宋体"/>
          <w:sz w:val="24"/>
        </w:rPr>
        <w:t>采购代理</w:t>
      </w:r>
      <w:r>
        <w:rPr>
          <w:rFonts w:hint="eastAsia" w:ascii="宋体"/>
          <w:sz w:val="24"/>
          <w:szCs w:val="24"/>
        </w:rPr>
        <w:t>服务费。</w:t>
      </w:r>
    </w:p>
    <w:p w14:paraId="0B9A0EAB">
      <w:pPr>
        <w:spacing w:line="360" w:lineRule="auto"/>
        <w:ind w:firstLine="480" w:firstLineChars="200"/>
        <w:rPr>
          <w:rFonts w:ascii="宋体"/>
          <w:sz w:val="24"/>
          <w:szCs w:val="24"/>
        </w:rPr>
      </w:pPr>
      <w:r>
        <w:rPr>
          <w:rFonts w:hint="eastAsia" w:ascii="宋体" w:hAnsi="宋体"/>
          <w:sz w:val="24"/>
        </w:rPr>
        <w:t>我方如违约，愿凭贵公司开出的违约通知，按</w:t>
      </w:r>
      <w:r>
        <w:rPr>
          <w:rFonts w:hint="eastAsia" w:ascii="宋体" w:hAnsi="宋体"/>
          <w:sz w:val="24"/>
          <w:lang w:val="en-US" w:eastAsia="zh-CN"/>
        </w:rPr>
        <w:t>招标代理服务费</w:t>
      </w:r>
      <w:r>
        <w:rPr>
          <w:rFonts w:hint="eastAsia" w:ascii="宋体" w:hAnsi="宋体"/>
          <w:sz w:val="24"/>
        </w:rPr>
        <w:t>金额的200％在采购人与我方签订的合同的款项中扣付，并在此同意</w:t>
      </w:r>
      <w:r>
        <w:rPr>
          <w:rFonts w:hint="eastAsia" w:ascii="宋体" w:hAnsi="宋体"/>
          <w:sz w:val="24"/>
          <w:lang w:val="en-US" w:eastAsia="zh-CN"/>
        </w:rPr>
        <w:t>贵公司</w:t>
      </w:r>
      <w:r>
        <w:rPr>
          <w:rFonts w:hint="eastAsia" w:ascii="宋体" w:hAnsi="宋体"/>
          <w:sz w:val="24"/>
        </w:rPr>
        <w:t>和采购人办理支付手续。</w:t>
      </w:r>
    </w:p>
    <w:p w14:paraId="01896051">
      <w:pPr>
        <w:spacing w:line="360" w:lineRule="auto"/>
        <w:ind w:firstLine="480" w:firstLineChars="200"/>
        <w:rPr>
          <w:rFonts w:ascii="宋体"/>
          <w:sz w:val="24"/>
          <w:szCs w:val="24"/>
        </w:rPr>
      </w:pPr>
      <w:r>
        <w:rPr>
          <w:rFonts w:hint="eastAsia" w:ascii="宋体"/>
          <w:sz w:val="24"/>
          <w:szCs w:val="24"/>
        </w:rPr>
        <w:t>特此承诺！</w:t>
      </w:r>
    </w:p>
    <w:p w14:paraId="665C2D9A">
      <w:pPr>
        <w:spacing w:line="360" w:lineRule="auto"/>
        <w:ind w:firstLine="480"/>
        <w:rPr>
          <w:rFonts w:ascii="宋体" w:hAnsi="宋体"/>
          <w:sz w:val="24"/>
        </w:rPr>
      </w:pPr>
    </w:p>
    <w:p w14:paraId="5F18CD96">
      <w:pPr>
        <w:spacing w:line="360" w:lineRule="auto"/>
        <w:ind w:firstLine="480"/>
        <w:rPr>
          <w:rFonts w:ascii="宋体" w:hAnsi="宋体"/>
          <w:sz w:val="24"/>
        </w:rPr>
      </w:pPr>
      <w:r>
        <w:rPr>
          <w:rFonts w:hint="eastAsia" w:ascii="宋体" w:hAnsi="宋体"/>
          <w:sz w:val="24"/>
          <w:lang w:eastAsia="zh-CN"/>
        </w:rPr>
        <w:t>响应供应商</w:t>
      </w:r>
      <w:r>
        <w:rPr>
          <w:rFonts w:hint="eastAsia" w:ascii="宋体" w:hAnsi="宋体"/>
          <w:sz w:val="24"/>
        </w:rPr>
        <w:t>全称（盖公章）：</w:t>
      </w:r>
    </w:p>
    <w:p w14:paraId="62A2C957">
      <w:pPr>
        <w:spacing w:line="360" w:lineRule="auto"/>
        <w:ind w:firstLine="480"/>
        <w:rPr>
          <w:rFonts w:ascii="宋体" w:hAnsi="宋体"/>
          <w:sz w:val="24"/>
        </w:rPr>
      </w:pPr>
      <w:r>
        <w:rPr>
          <w:rFonts w:hint="eastAsia" w:ascii="宋体" w:hAnsi="宋体"/>
          <w:sz w:val="24"/>
        </w:rPr>
        <w:t>法定代表人或授权代表（签名或盖章）：</w:t>
      </w:r>
    </w:p>
    <w:p w14:paraId="651C7EBF">
      <w:pPr>
        <w:spacing w:line="360" w:lineRule="auto"/>
        <w:ind w:firstLine="480"/>
        <w:rPr>
          <w:rFonts w:ascii="宋体" w:hAnsi="宋体"/>
          <w:sz w:val="24"/>
        </w:rPr>
      </w:pPr>
      <w:r>
        <w:rPr>
          <w:rFonts w:hint="eastAsia" w:ascii="宋体" w:hAnsi="宋体"/>
          <w:sz w:val="24"/>
        </w:rPr>
        <w:t>日    期：     年   月   日</w:t>
      </w:r>
    </w:p>
    <w:p w14:paraId="247678AE">
      <w:pPr>
        <w:ind w:firstLine="420"/>
      </w:pPr>
    </w:p>
    <w:p w14:paraId="7BF6B759">
      <w:pPr>
        <w:spacing w:line="360" w:lineRule="auto"/>
        <w:outlineLvl w:val="1"/>
        <w:rPr>
          <w:rFonts w:ascii="宋体" w:hAnsi="宋体" w:cs="Tahoma"/>
          <w:b/>
          <w:sz w:val="24"/>
        </w:rPr>
      </w:pPr>
      <w:bookmarkStart w:id="895" w:name="_Toc412"/>
      <w:bookmarkStart w:id="896" w:name="_Toc17219"/>
      <w:bookmarkStart w:id="897" w:name="_Toc91288873"/>
      <w:r>
        <w:rPr>
          <w:rFonts w:hint="eastAsia" w:ascii="宋体" w:hAnsi="宋体" w:cs="Tahoma"/>
          <w:b/>
          <w:sz w:val="24"/>
        </w:rPr>
        <w:t>附件</w:t>
      </w:r>
      <w:r>
        <w:rPr>
          <w:rFonts w:hint="eastAsia" w:ascii="宋体" w:hAnsi="宋体" w:cs="Tahoma"/>
          <w:b/>
          <w:sz w:val="24"/>
          <w:lang w:val="en-US" w:eastAsia="zh-CN"/>
        </w:rPr>
        <w:t>7</w:t>
      </w:r>
      <w:r>
        <w:rPr>
          <w:rFonts w:hint="eastAsia" w:ascii="宋体" w:hAnsi="宋体" w:cs="Tahoma"/>
          <w:b/>
          <w:sz w:val="24"/>
        </w:rPr>
        <w:t xml:space="preserve"> </w:t>
      </w:r>
      <w:bookmarkStart w:id="898" w:name="_Toc90148944"/>
      <w:r>
        <w:rPr>
          <w:rFonts w:hint="eastAsia" w:ascii="宋体" w:hAnsi="宋体" w:cs="Tahoma"/>
          <w:b/>
          <w:sz w:val="24"/>
        </w:rPr>
        <w:t>残疾人福利性单位声明函（如需）</w:t>
      </w:r>
      <w:bookmarkEnd w:id="895"/>
      <w:bookmarkEnd w:id="896"/>
      <w:bookmarkEnd w:id="897"/>
      <w:bookmarkEnd w:id="898"/>
    </w:p>
    <w:p w14:paraId="5A118E9B">
      <w:r>
        <w:t xml:space="preserve"> </w:t>
      </w:r>
    </w:p>
    <w:p w14:paraId="5617059A">
      <w:pPr>
        <w:spacing w:line="360" w:lineRule="auto"/>
        <w:ind w:firstLine="424" w:firstLineChars="177"/>
        <w:rPr>
          <w:rFonts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中国残疾人联合会关于促进残疾人就业政府采购政策的通知》（财库〔2017〕 141 号）的规定，本单位为符合条件的残疾人福利性单位，且本单位参加___</w:t>
      </w:r>
      <w:r>
        <w:rPr>
          <w:rFonts w:hint="eastAsia" w:ascii="宋体" w:hAnsi="宋体" w:cs="宋体"/>
          <w:sz w:val="24"/>
          <w:szCs w:val="24"/>
          <w:u w:val="single"/>
        </w:rPr>
        <w:t xml:space="preserve"> _</w:t>
      </w:r>
      <w:r>
        <w:rPr>
          <w:rFonts w:hint="eastAsia" w:ascii="宋体" w:hAnsi="宋体" w:cs="宋体"/>
          <w:sz w:val="24"/>
          <w:szCs w:val="24"/>
        </w:rPr>
        <w:t>__单位的</w:t>
      </w:r>
      <w:r>
        <w:rPr>
          <w:rFonts w:hint="eastAsia" w:ascii="宋体" w:hAnsi="宋体" w:cs="宋体"/>
          <w:sz w:val="24"/>
          <w:szCs w:val="24"/>
          <w:u w:val="single"/>
        </w:rPr>
        <w:t xml:space="preserve">_                  </w:t>
      </w:r>
      <w:r>
        <w:rPr>
          <w:rFonts w:hint="eastAsia" w:ascii="宋体" w:hAnsi="宋体" w:cs="宋体"/>
          <w:sz w:val="24"/>
          <w:szCs w:val="24"/>
        </w:rPr>
        <w:t xml:space="preserve">项目采购活动提供本单位制造的货物（由本单位承担工程/提供服务），或者提供其他残疾人福利性单位制造的货物（不包括使用非残疾人福利性单位注册商标的货物）。 </w:t>
      </w:r>
    </w:p>
    <w:p w14:paraId="7994227F">
      <w:pPr>
        <w:spacing w:line="360" w:lineRule="auto"/>
        <w:ind w:firstLine="424" w:firstLineChars="177"/>
        <w:rPr>
          <w:rFonts w:ascii="宋体" w:hAnsi="宋体" w:cs="宋体"/>
          <w:sz w:val="24"/>
          <w:szCs w:val="24"/>
        </w:rPr>
      </w:pPr>
      <w:r>
        <w:rPr>
          <w:rFonts w:hint="eastAsia" w:ascii="宋体" w:hAnsi="宋体" w:cs="宋体"/>
          <w:sz w:val="24"/>
          <w:szCs w:val="24"/>
        </w:rPr>
        <w:t>本单位对上述声明的真实性负责。如有虚假，将依法承担相应责任。</w:t>
      </w:r>
    </w:p>
    <w:p w14:paraId="5EBEC1C7">
      <w:pPr>
        <w:spacing w:line="360" w:lineRule="auto"/>
        <w:ind w:firstLine="424" w:firstLineChars="177"/>
        <w:rPr>
          <w:rFonts w:ascii="宋体" w:hAnsi="宋体" w:cs="宋体"/>
          <w:sz w:val="24"/>
          <w:szCs w:val="24"/>
        </w:rPr>
      </w:pPr>
    </w:p>
    <w:bookmarkEnd w:id="890"/>
    <w:p w14:paraId="79278934">
      <w:pPr>
        <w:wordWrap w:val="0"/>
        <w:spacing w:line="360" w:lineRule="auto"/>
        <w:jc w:val="right"/>
        <w:rPr>
          <w:rFonts w:ascii="宋体" w:hAnsi="宋体"/>
          <w:bCs/>
          <w:sz w:val="24"/>
        </w:rPr>
      </w:pPr>
      <w:bookmarkStart w:id="899" w:name="_Toc478809021"/>
      <w:bookmarkStart w:id="900" w:name="_Toc65526787"/>
      <w:bookmarkStart w:id="901" w:name="_Toc388816929"/>
      <w:r>
        <w:rPr>
          <w:rFonts w:hint="eastAsia" w:ascii="宋体" w:hAnsi="宋体"/>
          <w:bCs/>
          <w:sz w:val="24"/>
          <w:lang w:eastAsia="zh-CN"/>
        </w:rPr>
        <w:t>响应供应商</w:t>
      </w:r>
      <w:r>
        <w:rPr>
          <w:rFonts w:hint="eastAsia" w:ascii="宋体" w:hAnsi="宋体"/>
          <w:bCs/>
          <w:sz w:val="24"/>
        </w:rPr>
        <w:t xml:space="preserve">全称（盖公章）：                 </w:t>
      </w:r>
    </w:p>
    <w:p w14:paraId="0A291499">
      <w:pPr>
        <w:spacing w:line="360" w:lineRule="auto"/>
        <w:jc w:val="right"/>
        <w:rPr>
          <w:rFonts w:ascii="宋体" w:hAnsi="宋体"/>
          <w:bCs/>
          <w:sz w:val="24"/>
        </w:rPr>
      </w:pPr>
      <w:r>
        <w:rPr>
          <w:rFonts w:hint="eastAsia" w:ascii="宋体" w:hAnsi="宋体"/>
          <w:bCs/>
          <w:sz w:val="24"/>
        </w:rPr>
        <w:t>日    期：     年   月   日</w:t>
      </w:r>
    </w:p>
    <w:p w14:paraId="4ED72F9B">
      <w:pPr>
        <w:spacing w:line="360" w:lineRule="auto"/>
        <w:outlineLvl w:val="1"/>
        <w:rPr>
          <w:rFonts w:ascii="宋体" w:hAnsi="宋体" w:cs="Tahoma"/>
          <w:b/>
          <w:sz w:val="24"/>
        </w:rPr>
      </w:pPr>
      <w:bookmarkStart w:id="902" w:name="_Toc9601"/>
      <w:bookmarkStart w:id="903" w:name="_Toc91288874"/>
      <w:bookmarkStart w:id="904" w:name="_Toc90148945"/>
      <w:bookmarkStart w:id="905" w:name="_Toc29366"/>
      <w:r>
        <w:rPr>
          <w:rFonts w:ascii="宋体" w:hAnsi="宋体" w:cs="Tahoma"/>
          <w:b/>
          <w:sz w:val="24"/>
        </w:rPr>
        <w:t>附件</w:t>
      </w:r>
      <w:r>
        <w:rPr>
          <w:rFonts w:hint="eastAsia" w:ascii="宋体" w:hAnsi="宋体" w:cs="Tahoma"/>
          <w:b/>
          <w:sz w:val="24"/>
          <w:lang w:val="en-US" w:eastAsia="zh-CN"/>
        </w:rPr>
        <w:t>8</w:t>
      </w:r>
      <w:r>
        <w:rPr>
          <w:rFonts w:hint="eastAsia" w:ascii="宋体" w:hAnsi="宋体" w:cs="Tahoma"/>
          <w:b/>
          <w:sz w:val="24"/>
        </w:rPr>
        <w:t xml:space="preserve"> 监狱企业的证明文件（如需）</w:t>
      </w:r>
      <w:bookmarkEnd w:id="902"/>
      <w:bookmarkEnd w:id="903"/>
      <w:bookmarkEnd w:id="904"/>
      <w:bookmarkEnd w:id="905"/>
    </w:p>
    <w:p w14:paraId="2E768F65"/>
    <w:p w14:paraId="42240691">
      <w:pPr>
        <w:autoSpaceDE w:val="0"/>
        <w:autoSpaceDN w:val="0"/>
        <w:adjustRightInd w:val="0"/>
        <w:jc w:val="center"/>
        <w:rPr>
          <w:rFonts w:ascii="宋体" w:cs="宋体"/>
          <w:b/>
          <w:kern w:val="0"/>
          <w:sz w:val="28"/>
          <w:szCs w:val="36"/>
        </w:rPr>
      </w:pPr>
      <w:r>
        <w:rPr>
          <w:rFonts w:hint="eastAsia" w:ascii="宋体" w:cs="宋体"/>
          <w:b/>
          <w:kern w:val="0"/>
          <w:sz w:val="28"/>
          <w:szCs w:val="36"/>
        </w:rPr>
        <w:t>监狱企业的证明文件</w:t>
      </w:r>
    </w:p>
    <w:p w14:paraId="460956D4">
      <w:pPr>
        <w:spacing w:line="360" w:lineRule="auto"/>
        <w:ind w:firstLine="480" w:firstLineChars="200"/>
        <w:rPr>
          <w:rFonts w:ascii="仿宋" w:hAnsi="仿宋" w:eastAsia="仿宋"/>
          <w:sz w:val="24"/>
          <w:szCs w:val="24"/>
        </w:rPr>
      </w:pPr>
      <w:r>
        <w:rPr>
          <w:rFonts w:hint="eastAsia" w:ascii="仿宋" w:hAnsi="仿宋" w:eastAsia="仿宋"/>
          <w:sz w:val="24"/>
          <w:szCs w:val="24"/>
        </w:rPr>
        <w:t>说明：监狱企业参加政府采购活动时，应当提供由省级以上监狱管理局、戒毒管理局（含新疆生产建设兵团）出具的属于监狱企业的证明文件并加盖</w:t>
      </w:r>
      <w:r>
        <w:rPr>
          <w:rFonts w:hint="eastAsia" w:ascii="仿宋" w:hAnsi="仿宋" w:eastAsia="仿宋"/>
          <w:sz w:val="24"/>
          <w:szCs w:val="24"/>
          <w:lang w:eastAsia="zh-CN"/>
        </w:rPr>
        <w:t>响应</w:t>
      </w:r>
      <w:r>
        <w:rPr>
          <w:rFonts w:hint="eastAsia" w:ascii="仿宋" w:hAnsi="仿宋" w:eastAsia="仿宋"/>
          <w:sz w:val="24"/>
          <w:szCs w:val="24"/>
        </w:rPr>
        <w:t>单位公章。</w:t>
      </w:r>
    </w:p>
    <w:p w14:paraId="650396B6">
      <w:pPr>
        <w:wordWrap w:val="0"/>
        <w:spacing w:line="360" w:lineRule="auto"/>
        <w:jc w:val="right"/>
        <w:rPr>
          <w:rFonts w:ascii="宋体" w:hAnsi="宋体"/>
          <w:bCs/>
          <w:sz w:val="24"/>
        </w:rPr>
      </w:pPr>
      <w:r>
        <w:rPr>
          <w:rFonts w:hint="eastAsia" w:ascii="宋体" w:hAnsi="宋体"/>
          <w:bCs/>
          <w:sz w:val="24"/>
          <w:lang w:eastAsia="zh-CN"/>
        </w:rPr>
        <w:t>响应供应商</w:t>
      </w:r>
      <w:r>
        <w:rPr>
          <w:rFonts w:hint="eastAsia" w:ascii="宋体" w:hAnsi="宋体"/>
          <w:bCs/>
          <w:sz w:val="24"/>
        </w:rPr>
        <w:t xml:space="preserve">全称（盖公章）：                 </w:t>
      </w:r>
    </w:p>
    <w:p w14:paraId="279C3CFB">
      <w:pPr>
        <w:spacing w:line="360" w:lineRule="auto"/>
        <w:jc w:val="right"/>
        <w:rPr>
          <w:rFonts w:ascii="宋体" w:hAnsi="宋体"/>
          <w:bCs/>
          <w:sz w:val="24"/>
        </w:rPr>
      </w:pPr>
      <w:r>
        <w:rPr>
          <w:rFonts w:hint="eastAsia" w:ascii="宋体" w:hAnsi="宋体"/>
          <w:bCs/>
          <w:sz w:val="24"/>
        </w:rPr>
        <w:t>日    期：     年   月   日</w:t>
      </w:r>
    </w:p>
    <w:p w14:paraId="0353E9DE">
      <w:pPr>
        <w:rPr>
          <w:rFonts w:hint="eastAsia" w:ascii="宋体" w:hAnsi="宋体" w:cs="Tahoma"/>
          <w:b/>
          <w:sz w:val="24"/>
        </w:rPr>
      </w:pPr>
      <w:bookmarkStart w:id="906" w:name="_Toc90148946"/>
      <w:bookmarkStart w:id="907" w:name="_Toc91288875"/>
      <w:bookmarkStart w:id="908" w:name="_Toc13718"/>
      <w:r>
        <w:rPr>
          <w:rFonts w:hint="eastAsia" w:ascii="宋体" w:hAnsi="宋体" w:cs="Tahoma"/>
          <w:b/>
          <w:sz w:val="24"/>
        </w:rPr>
        <w:br w:type="page"/>
      </w:r>
    </w:p>
    <w:p w14:paraId="388D255E">
      <w:pPr>
        <w:spacing w:line="360" w:lineRule="auto"/>
        <w:outlineLvl w:val="1"/>
        <w:rPr>
          <w:rFonts w:cs="宋体"/>
          <w:kern w:val="0"/>
          <w:sz w:val="36"/>
          <w:szCs w:val="36"/>
        </w:rPr>
      </w:pPr>
      <w:bookmarkStart w:id="909" w:name="_Toc3812"/>
      <w:r>
        <w:rPr>
          <w:rFonts w:hint="eastAsia" w:ascii="宋体" w:hAnsi="宋体" w:cs="Tahoma"/>
          <w:b/>
          <w:sz w:val="24"/>
        </w:rPr>
        <w:t>附件</w:t>
      </w:r>
      <w:r>
        <w:rPr>
          <w:rFonts w:hint="eastAsia" w:ascii="宋体" w:hAnsi="宋体" w:cs="Tahoma"/>
          <w:b/>
          <w:sz w:val="24"/>
          <w:lang w:val="en-US" w:eastAsia="zh-CN"/>
        </w:rPr>
        <w:t>9</w:t>
      </w:r>
      <w:r>
        <w:rPr>
          <w:rFonts w:hint="eastAsia" w:ascii="宋体" w:hAnsi="宋体" w:cs="Tahoma"/>
          <w:b/>
          <w:sz w:val="24"/>
        </w:rPr>
        <w:t xml:space="preserve"> 中小企业声明函</w:t>
      </w:r>
      <w:bookmarkEnd w:id="906"/>
      <w:bookmarkEnd w:id="907"/>
      <w:bookmarkEnd w:id="908"/>
      <w:bookmarkEnd w:id="909"/>
    </w:p>
    <w:p w14:paraId="0DC9A7FA">
      <w:pPr>
        <w:autoSpaceDE w:val="0"/>
        <w:autoSpaceDN w:val="0"/>
        <w:adjustRightInd w:val="0"/>
        <w:spacing w:line="360" w:lineRule="auto"/>
        <w:jc w:val="center"/>
        <w:rPr>
          <w:rFonts w:ascii="宋体" w:cs="宋体"/>
          <w:b/>
          <w:kern w:val="0"/>
          <w:sz w:val="24"/>
          <w:szCs w:val="36"/>
        </w:rPr>
      </w:pPr>
      <w:r>
        <w:rPr>
          <w:rFonts w:hint="eastAsia" w:ascii="宋体" w:cs="宋体"/>
          <w:b/>
          <w:kern w:val="0"/>
          <w:sz w:val="24"/>
          <w:szCs w:val="36"/>
        </w:rPr>
        <w:t>中小企业声明函</w:t>
      </w:r>
    </w:p>
    <w:p w14:paraId="40DB77D6">
      <w:pPr>
        <w:spacing w:line="360" w:lineRule="auto"/>
        <w:ind w:firstLine="504" w:firstLineChars="200"/>
        <w:rPr>
          <w:rFonts w:ascii="宋体" w:hAnsi="宋体"/>
          <w:color w:val="000000"/>
          <w:spacing w:val="6"/>
          <w:sz w:val="24"/>
          <w:szCs w:val="24"/>
        </w:rPr>
      </w:pPr>
      <w:r>
        <w:rPr>
          <w:rFonts w:hint="eastAsia" w:ascii="宋体" w:hAnsi="宋体"/>
          <w:color w:val="000000"/>
          <w:spacing w:val="6"/>
          <w:sz w:val="24"/>
          <w:szCs w:val="24"/>
        </w:rPr>
        <w:t>本公司（联合体）郑重声明，根据《政府采购促进中小企业发展管理办法》（财库﹝2020﹞46 号）的规定，本公司（联合体）参加</w:t>
      </w:r>
      <w:r>
        <w:rPr>
          <w:rFonts w:hint="eastAsia" w:ascii="宋体" w:hAnsi="宋体"/>
          <w:color w:val="000000"/>
          <w:spacing w:val="6"/>
          <w:sz w:val="24"/>
          <w:szCs w:val="24"/>
          <w:u w:val="single"/>
        </w:rPr>
        <w:t>（单位名称）</w:t>
      </w:r>
      <w:r>
        <w:rPr>
          <w:rFonts w:hint="eastAsia" w:ascii="宋体" w:hAnsi="宋体"/>
          <w:color w:val="000000"/>
          <w:spacing w:val="6"/>
          <w:sz w:val="24"/>
          <w:szCs w:val="24"/>
        </w:rPr>
        <w:t>的</w:t>
      </w:r>
      <w:r>
        <w:rPr>
          <w:rFonts w:hint="eastAsia" w:ascii="宋体" w:hAnsi="宋体"/>
          <w:color w:val="000000"/>
          <w:spacing w:val="6"/>
          <w:sz w:val="24"/>
          <w:szCs w:val="24"/>
          <w:u w:val="single"/>
        </w:rPr>
        <w:t>（项目名称）</w:t>
      </w:r>
      <w:r>
        <w:rPr>
          <w:rFonts w:hint="eastAsia" w:ascii="宋体" w:hAnsi="宋体"/>
          <w:color w:val="000000"/>
          <w:spacing w:val="6"/>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972A30A">
      <w:pPr>
        <w:spacing w:line="360" w:lineRule="auto"/>
        <w:ind w:firstLine="504" w:firstLineChars="200"/>
        <w:rPr>
          <w:rFonts w:ascii="宋体" w:hAnsi="宋体"/>
          <w:color w:val="000000"/>
          <w:spacing w:val="6"/>
          <w:sz w:val="24"/>
          <w:szCs w:val="24"/>
        </w:rPr>
      </w:pPr>
      <w:r>
        <w:rPr>
          <w:rFonts w:hint="eastAsia" w:ascii="宋体" w:hAnsi="宋体"/>
          <w:color w:val="000000"/>
          <w:spacing w:val="6"/>
          <w:sz w:val="24"/>
          <w:szCs w:val="24"/>
        </w:rPr>
        <w:t>1.</w:t>
      </w:r>
      <w:r>
        <w:rPr>
          <w:rFonts w:hint="eastAsia" w:ascii="宋体" w:hAnsi="宋体"/>
          <w:color w:val="000000"/>
          <w:spacing w:val="6"/>
          <w:sz w:val="24"/>
          <w:szCs w:val="24"/>
          <w:u w:val="single"/>
        </w:rPr>
        <w:t xml:space="preserve"> （标的名称） </w:t>
      </w:r>
      <w:r>
        <w:rPr>
          <w:rFonts w:hint="eastAsia" w:ascii="宋体" w:hAnsi="宋体"/>
          <w:color w:val="000000"/>
          <w:spacing w:val="6"/>
          <w:sz w:val="24"/>
          <w:szCs w:val="24"/>
        </w:rPr>
        <w:t>，属于</w:t>
      </w:r>
      <w:r>
        <w:rPr>
          <w:rFonts w:hint="eastAsia" w:ascii="宋体" w:hAnsi="宋体"/>
          <w:color w:val="000000"/>
          <w:spacing w:val="6"/>
          <w:sz w:val="24"/>
          <w:szCs w:val="24"/>
          <w:u w:val="single"/>
        </w:rPr>
        <w:t>（</w:t>
      </w:r>
      <w:r>
        <w:rPr>
          <w:rFonts w:hint="eastAsia" w:ascii="宋体" w:hAnsi="宋体"/>
          <w:color w:val="000000"/>
          <w:spacing w:val="6"/>
          <w:sz w:val="24"/>
          <w:szCs w:val="24"/>
          <w:u w:val="single"/>
          <w:lang w:eastAsia="zh-CN"/>
        </w:rPr>
        <w:t>建筑业</w:t>
      </w:r>
      <w:r>
        <w:rPr>
          <w:rFonts w:hint="eastAsia" w:ascii="宋体" w:hAnsi="宋体"/>
          <w:color w:val="000000"/>
          <w:spacing w:val="6"/>
          <w:sz w:val="24"/>
          <w:szCs w:val="24"/>
          <w:u w:val="single"/>
        </w:rPr>
        <w:t>）</w:t>
      </w:r>
      <w:r>
        <w:rPr>
          <w:rFonts w:hint="eastAsia" w:ascii="宋体" w:hAnsi="宋体"/>
          <w:color w:val="000000"/>
          <w:spacing w:val="6"/>
          <w:sz w:val="24"/>
          <w:szCs w:val="24"/>
        </w:rPr>
        <w:t>；承建（承接）企业为</w:t>
      </w:r>
      <w:r>
        <w:rPr>
          <w:rFonts w:hint="eastAsia" w:ascii="宋体" w:hAnsi="宋体"/>
          <w:color w:val="000000"/>
          <w:spacing w:val="6"/>
          <w:sz w:val="24"/>
          <w:szCs w:val="24"/>
          <w:u w:val="single"/>
        </w:rPr>
        <w:t>（企业名称）</w:t>
      </w:r>
      <w:r>
        <w:rPr>
          <w:rFonts w:hint="eastAsia" w:ascii="宋体" w:hAnsi="宋体"/>
          <w:color w:val="000000"/>
          <w:spacing w:val="6"/>
          <w:sz w:val="24"/>
          <w:szCs w:val="24"/>
        </w:rPr>
        <w:t>，从业人员</w:t>
      </w:r>
      <w:r>
        <w:rPr>
          <w:rFonts w:hint="eastAsia" w:ascii="宋体" w:hAnsi="宋体"/>
          <w:color w:val="000000"/>
          <w:spacing w:val="6"/>
          <w:sz w:val="24"/>
          <w:szCs w:val="24"/>
          <w:u w:val="single"/>
        </w:rPr>
        <w:t xml:space="preserve">    </w:t>
      </w:r>
      <w:r>
        <w:rPr>
          <w:rFonts w:hint="eastAsia" w:ascii="宋体" w:hAnsi="宋体"/>
          <w:color w:val="000000"/>
          <w:spacing w:val="6"/>
          <w:sz w:val="24"/>
          <w:szCs w:val="24"/>
        </w:rPr>
        <w:t>人，营业收入为</w:t>
      </w:r>
      <w:r>
        <w:rPr>
          <w:rFonts w:hint="eastAsia" w:ascii="宋体" w:hAnsi="宋体"/>
          <w:color w:val="000000"/>
          <w:spacing w:val="6"/>
          <w:sz w:val="24"/>
          <w:szCs w:val="24"/>
          <w:u w:val="single"/>
        </w:rPr>
        <w:t xml:space="preserve">    </w:t>
      </w:r>
      <w:r>
        <w:rPr>
          <w:rFonts w:hint="eastAsia" w:ascii="宋体" w:hAnsi="宋体"/>
          <w:color w:val="000000"/>
          <w:spacing w:val="6"/>
          <w:sz w:val="24"/>
          <w:szCs w:val="24"/>
        </w:rPr>
        <w:t>万元，资产总额为</w:t>
      </w:r>
      <w:r>
        <w:rPr>
          <w:rFonts w:hint="eastAsia" w:ascii="宋体" w:hAnsi="宋体"/>
          <w:color w:val="000000"/>
          <w:spacing w:val="6"/>
          <w:sz w:val="24"/>
          <w:szCs w:val="24"/>
          <w:u w:val="single"/>
        </w:rPr>
        <w:t xml:space="preserve">    </w:t>
      </w:r>
      <w:r>
        <w:rPr>
          <w:rFonts w:hint="eastAsia" w:ascii="宋体" w:hAnsi="宋体"/>
          <w:color w:val="000000"/>
          <w:spacing w:val="6"/>
          <w:sz w:val="24"/>
          <w:szCs w:val="24"/>
        </w:rPr>
        <w:t>万元，属于</w:t>
      </w:r>
      <w:r>
        <w:rPr>
          <w:rFonts w:hint="eastAsia" w:ascii="宋体" w:hAnsi="宋体"/>
          <w:color w:val="000000"/>
          <w:spacing w:val="6"/>
          <w:sz w:val="24"/>
          <w:szCs w:val="24"/>
          <w:u w:val="single"/>
        </w:rPr>
        <w:t>（中型企业、小型企业、微型企业）</w:t>
      </w:r>
      <w:r>
        <w:rPr>
          <w:rFonts w:hint="eastAsia" w:ascii="宋体" w:hAnsi="宋体"/>
          <w:color w:val="000000"/>
          <w:spacing w:val="6"/>
          <w:sz w:val="24"/>
          <w:szCs w:val="24"/>
        </w:rPr>
        <w:t>；</w:t>
      </w:r>
    </w:p>
    <w:p w14:paraId="2FAB3D7B">
      <w:pPr>
        <w:spacing w:line="360" w:lineRule="auto"/>
        <w:ind w:firstLine="504" w:firstLineChars="200"/>
        <w:rPr>
          <w:rFonts w:ascii="宋体" w:hAnsi="宋体"/>
          <w:color w:val="000000"/>
          <w:spacing w:val="6"/>
          <w:sz w:val="24"/>
          <w:szCs w:val="24"/>
        </w:rPr>
      </w:pPr>
      <w:r>
        <w:rPr>
          <w:rFonts w:hint="eastAsia" w:ascii="宋体" w:hAnsi="宋体"/>
          <w:color w:val="000000"/>
          <w:spacing w:val="6"/>
          <w:sz w:val="24"/>
          <w:szCs w:val="24"/>
        </w:rPr>
        <w:t>2.</w:t>
      </w:r>
      <w:r>
        <w:rPr>
          <w:rFonts w:hint="eastAsia" w:ascii="宋体" w:hAnsi="宋体"/>
          <w:color w:val="000000"/>
          <w:spacing w:val="6"/>
          <w:sz w:val="24"/>
          <w:szCs w:val="24"/>
          <w:u w:val="single"/>
        </w:rPr>
        <w:t xml:space="preserve"> （标的名称） </w:t>
      </w:r>
      <w:r>
        <w:rPr>
          <w:rFonts w:hint="eastAsia" w:ascii="宋体" w:hAnsi="宋体"/>
          <w:color w:val="000000"/>
          <w:spacing w:val="6"/>
          <w:sz w:val="24"/>
          <w:szCs w:val="24"/>
        </w:rPr>
        <w:t>，属于</w:t>
      </w:r>
      <w:r>
        <w:rPr>
          <w:rFonts w:hint="eastAsia" w:ascii="宋体" w:hAnsi="宋体"/>
          <w:color w:val="000000"/>
          <w:spacing w:val="6"/>
          <w:sz w:val="24"/>
          <w:szCs w:val="24"/>
          <w:u w:val="single"/>
        </w:rPr>
        <w:t>（</w:t>
      </w:r>
      <w:r>
        <w:rPr>
          <w:rFonts w:hint="eastAsia" w:ascii="宋体" w:hAnsi="宋体"/>
          <w:color w:val="000000"/>
          <w:spacing w:val="6"/>
          <w:sz w:val="24"/>
          <w:szCs w:val="24"/>
          <w:u w:val="single"/>
          <w:lang w:eastAsia="zh-CN"/>
        </w:rPr>
        <w:t>建筑业</w:t>
      </w:r>
      <w:r>
        <w:rPr>
          <w:rFonts w:hint="eastAsia" w:ascii="宋体" w:hAnsi="宋体"/>
          <w:color w:val="000000"/>
          <w:spacing w:val="6"/>
          <w:sz w:val="24"/>
          <w:szCs w:val="24"/>
          <w:u w:val="single"/>
        </w:rPr>
        <w:t>）</w:t>
      </w:r>
      <w:r>
        <w:rPr>
          <w:rFonts w:hint="eastAsia" w:ascii="宋体" w:hAnsi="宋体"/>
          <w:color w:val="000000"/>
          <w:spacing w:val="6"/>
          <w:sz w:val="24"/>
          <w:szCs w:val="24"/>
        </w:rPr>
        <w:t>；承建（承接）企业为</w:t>
      </w:r>
      <w:r>
        <w:rPr>
          <w:rFonts w:hint="eastAsia" w:ascii="宋体" w:hAnsi="宋体"/>
          <w:color w:val="000000"/>
          <w:spacing w:val="6"/>
          <w:sz w:val="24"/>
          <w:szCs w:val="24"/>
          <w:u w:val="single"/>
        </w:rPr>
        <w:t>（企业名称）</w:t>
      </w:r>
      <w:r>
        <w:rPr>
          <w:rFonts w:hint="eastAsia" w:ascii="宋体" w:hAnsi="宋体"/>
          <w:color w:val="000000"/>
          <w:spacing w:val="6"/>
          <w:sz w:val="24"/>
          <w:szCs w:val="24"/>
        </w:rPr>
        <w:t>，从业人员</w:t>
      </w:r>
      <w:r>
        <w:rPr>
          <w:rFonts w:hint="eastAsia" w:ascii="宋体" w:hAnsi="宋体"/>
          <w:color w:val="000000"/>
          <w:spacing w:val="6"/>
          <w:sz w:val="24"/>
          <w:szCs w:val="24"/>
          <w:u w:val="single"/>
        </w:rPr>
        <w:t xml:space="preserve">    </w:t>
      </w:r>
      <w:r>
        <w:rPr>
          <w:rFonts w:hint="eastAsia" w:ascii="宋体" w:hAnsi="宋体"/>
          <w:color w:val="000000"/>
          <w:spacing w:val="6"/>
          <w:sz w:val="24"/>
          <w:szCs w:val="24"/>
        </w:rPr>
        <w:t>人，营业收入为</w:t>
      </w:r>
      <w:r>
        <w:rPr>
          <w:rFonts w:hint="eastAsia" w:ascii="宋体" w:hAnsi="宋体"/>
          <w:color w:val="000000"/>
          <w:spacing w:val="6"/>
          <w:sz w:val="24"/>
          <w:szCs w:val="24"/>
          <w:u w:val="single"/>
        </w:rPr>
        <w:t xml:space="preserve">    </w:t>
      </w:r>
      <w:r>
        <w:rPr>
          <w:rFonts w:hint="eastAsia" w:ascii="宋体" w:hAnsi="宋体"/>
          <w:color w:val="000000"/>
          <w:spacing w:val="6"/>
          <w:sz w:val="24"/>
          <w:szCs w:val="24"/>
        </w:rPr>
        <w:t>万元，资产总额为</w:t>
      </w:r>
      <w:r>
        <w:rPr>
          <w:rFonts w:hint="eastAsia" w:ascii="宋体" w:hAnsi="宋体"/>
          <w:color w:val="000000"/>
          <w:spacing w:val="6"/>
          <w:sz w:val="24"/>
          <w:szCs w:val="24"/>
          <w:u w:val="single"/>
        </w:rPr>
        <w:t xml:space="preserve">    </w:t>
      </w:r>
      <w:r>
        <w:rPr>
          <w:rFonts w:hint="eastAsia" w:ascii="宋体" w:hAnsi="宋体"/>
          <w:color w:val="000000"/>
          <w:spacing w:val="6"/>
          <w:sz w:val="24"/>
          <w:szCs w:val="24"/>
        </w:rPr>
        <w:t>万元，属于</w:t>
      </w:r>
      <w:r>
        <w:rPr>
          <w:rFonts w:hint="eastAsia" w:ascii="宋体" w:hAnsi="宋体"/>
          <w:color w:val="000000"/>
          <w:spacing w:val="6"/>
          <w:sz w:val="24"/>
          <w:szCs w:val="24"/>
          <w:u w:val="single"/>
        </w:rPr>
        <w:t>（中型企业、小型企业、微型企业）；</w:t>
      </w:r>
    </w:p>
    <w:p w14:paraId="3BEAF741">
      <w:pPr>
        <w:spacing w:line="360" w:lineRule="auto"/>
        <w:ind w:firstLine="504" w:firstLineChars="200"/>
        <w:rPr>
          <w:rFonts w:ascii="宋体" w:hAnsi="宋体"/>
          <w:color w:val="000000"/>
          <w:spacing w:val="6"/>
          <w:sz w:val="24"/>
          <w:szCs w:val="24"/>
        </w:rPr>
      </w:pPr>
      <w:r>
        <w:rPr>
          <w:rFonts w:hint="eastAsia" w:ascii="宋体" w:hAnsi="宋体"/>
          <w:color w:val="000000"/>
          <w:spacing w:val="6"/>
          <w:sz w:val="24"/>
          <w:szCs w:val="24"/>
        </w:rPr>
        <w:t>……</w:t>
      </w:r>
    </w:p>
    <w:p w14:paraId="69DE2CB0">
      <w:pPr>
        <w:spacing w:line="360" w:lineRule="auto"/>
        <w:ind w:firstLine="504" w:firstLineChars="200"/>
        <w:rPr>
          <w:rFonts w:ascii="宋体" w:hAnsi="宋体"/>
          <w:color w:val="000000"/>
          <w:spacing w:val="6"/>
          <w:sz w:val="24"/>
          <w:szCs w:val="24"/>
        </w:rPr>
      </w:pPr>
      <w:r>
        <w:rPr>
          <w:rFonts w:hint="eastAsia" w:ascii="宋体" w:hAnsi="宋体"/>
          <w:color w:val="000000"/>
          <w:spacing w:val="6"/>
          <w:sz w:val="24"/>
          <w:szCs w:val="24"/>
        </w:rPr>
        <w:t>以上企业，不属于大企业的分支机构，不存在控股股东为大企业的情形，也不存在与大企业的负责人为同一人的情形。</w:t>
      </w:r>
    </w:p>
    <w:p w14:paraId="746A23F3">
      <w:pPr>
        <w:spacing w:line="360" w:lineRule="auto"/>
        <w:ind w:firstLine="504" w:firstLineChars="200"/>
        <w:rPr>
          <w:rFonts w:ascii="宋体" w:hAnsi="宋体"/>
          <w:color w:val="000000"/>
          <w:spacing w:val="6"/>
          <w:sz w:val="24"/>
          <w:szCs w:val="24"/>
        </w:rPr>
      </w:pPr>
      <w:r>
        <w:rPr>
          <w:rFonts w:hint="eastAsia" w:ascii="宋体" w:hAnsi="宋体"/>
          <w:color w:val="000000"/>
          <w:spacing w:val="6"/>
          <w:sz w:val="24"/>
          <w:szCs w:val="24"/>
        </w:rPr>
        <w:t>本企业对上述声明内容的真实性负责。如有虚假，将依法承担相应责任。</w:t>
      </w:r>
    </w:p>
    <w:p w14:paraId="1D39D7CA">
      <w:pPr>
        <w:spacing w:line="360" w:lineRule="auto"/>
        <w:ind w:firstLine="504" w:firstLineChars="200"/>
        <w:rPr>
          <w:rFonts w:ascii="宋体" w:hAnsi="宋体"/>
          <w:color w:val="000000"/>
          <w:spacing w:val="6"/>
          <w:sz w:val="24"/>
          <w:szCs w:val="24"/>
        </w:rPr>
      </w:pPr>
    </w:p>
    <w:p w14:paraId="4BA28BE6">
      <w:pPr>
        <w:wordWrap w:val="0"/>
        <w:spacing w:line="360" w:lineRule="auto"/>
        <w:ind w:right="240"/>
        <w:jc w:val="right"/>
        <w:rPr>
          <w:rFonts w:ascii="宋体" w:hAnsi="宋体"/>
          <w:bCs/>
          <w:sz w:val="24"/>
        </w:rPr>
      </w:pPr>
      <w:r>
        <w:rPr>
          <w:rFonts w:hint="eastAsia" w:ascii="宋体" w:hAnsi="宋体"/>
          <w:bCs/>
          <w:sz w:val="24"/>
          <w:lang w:eastAsia="zh-CN"/>
        </w:rPr>
        <w:t>响应供应商</w:t>
      </w:r>
      <w:r>
        <w:rPr>
          <w:rFonts w:hint="eastAsia" w:ascii="宋体" w:hAnsi="宋体"/>
          <w:bCs/>
          <w:sz w:val="24"/>
        </w:rPr>
        <w:t xml:space="preserve">全称（盖公章）：               </w:t>
      </w:r>
    </w:p>
    <w:p w14:paraId="5D8D9D64">
      <w:pPr>
        <w:spacing w:line="360" w:lineRule="auto"/>
        <w:jc w:val="right"/>
        <w:rPr>
          <w:rFonts w:ascii="宋体" w:hAnsi="宋体"/>
          <w:bCs/>
          <w:sz w:val="24"/>
        </w:rPr>
      </w:pPr>
      <w:r>
        <w:rPr>
          <w:rFonts w:hint="eastAsia" w:ascii="宋体" w:hAnsi="宋体"/>
          <w:bCs/>
          <w:sz w:val="24"/>
        </w:rPr>
        <w:t>日    期：     年   月   日</w:t>
      </w:r>
    </w:p>
    <w:p w14:paraId="4BCC143A">
      <w:pPr>
        <w:spacing w:line="360" w:lineRule="auto"/>
        <w:ind w:firstLine="480" w:firstLineChars="200"/>
        <w:rPr>
          <w:rFonts w:ascii="仿宋" w:hAnsi="仿宋" w:eastAsia="仿宋"/>
          <w:sz w:val="24"/>
          <w:szCs w:val="24"/>
        </w:rPr>
      </w:pPr>
      <w:r>
        <w:rPr>
          <w:rFonts w:hint="eastAsia" w:ascii="仿宋" w:hAnsi="仿宋" w:eastAsia="仿宋"/>
          <w:sz w:val="24"/>
          <w:szCs w:val="24"/>
        </w:rPr>
        <w:t>注：1.从业人员、营业收入、资产总额填报上一年度数据，无上一年度数据的新成立企业可不填报。</w:t>
      </w:r>
    </w:p>
    <w:p w14:paraId="02226345">
      <w:pPr>
        <w:spacing w:line="360" w:lineRule="auto"/>
        <w:ind w:firstLine="480" w:firstLineChars="200"/>
        <w:rPr>
          <w:rFonts w:ascii="仿宋" w:hAnsi="仿宋" w:eastAsia="仿宋"/>
          <w:sz w:val="24"/>
          <w:szCs w:val="24"/>
        </w:rPr>
      </w:pPr>
      <w:r>
        <w:rPr>
          <w:rFonts w:hint="eastAsia" w:ascii="仿宋" w:hAnsi="仿宋" w:eastAsia="仿宋"/>
          <w:sz w:val="24"/>
          <w:szCs w:val="24"/>
        </w:rPr>
        <w:t>2.供应商根据</w:t>
      </w:r>
      <w:r>
        <w:rPr>
          <w:rFonts w:hint="eastAsia" w:ascii="仿宋" w:hAnsi="仿宋" w:eastAsia="仿宋"/>
          <w:sz w:val="24"/>
          <w:szCs w:val="24"/>
          <w:lang w:eastAsia="zh-CN"/>
        </w:rPr>
        <w:t>遴选文件</w:t>
      </w:r>
      <w:r>
        <w:rPr>
          <w:rFonts w:hint="eastAsia" w:ascii="仿宋" w:hAnsi="仿宋" w:eastAsia="仿宋"/>
          <w:sz w:val="24"/>
          <w:szCs w:val="24"/>
        </w:rPr>
        <w:t>中明确的行业所对应的划分标准，判断承建（承接）企业是否属于中小企业。</w:t>
      </w:r>
    </w:p>
    <w:p w14:paraId="1557103C">
      <w:pPr>
        <w:spacing w:line="360" w:lineRule="auto"/>
        <w:ind w:firstLine="480" w:firstLineChars="200"/>
        <w:rPr>
          <w:rFonts w:ascii="仿宋" w:hAnsi="仿宋" w:eastAsia="仿宋"/>
          <w:sz w:val="24"/>
          <w:szCs w:val="24"/>
        </w:rPr>
      </w:pPr>
      <w:r>
        <w:rPr>
          <w:rFonts w:hint="eastAsia" w:ascii="仿宋" w:hAnsi="仿宋" w:eastAsia="仿宋"/>
          <w:sz w:val="24"/>
          <w:szCs w:val="24"/>
        </w:rPr>
        <w:t>3.为方便供应商识别其企业规模类型，可通过“中小企业规模类型自测小程序”进行自测，请登入：http://202.106.120.146/baosong/appweb/orgScale.html。</w:t>
      </w:r>
    </w:p>
    <w:p w14:paraId="202D1374">
      <w:pPr>
        <w:spacing w:line="360" w:lineRule="auto"/>
        <w:ind w:firstLine="480" w:firstLineChars="200"/>
        <w:rPr>
          <w:rFonts w:ascii="仿宋" w:hAnsi="仿宋" w:eastAsia="仿宋"/>
          <w:sz w:val="24"/>
          <w:szCs w:val="24"/>
        </w:rPr>
      </w:pPr>
      <w:r>
        <w:rPr>
          <w:rFonts w:hint="eastAsia" w:ascii="仿宋" w:hAnsi="仿宋" w:eastAsia="仿宋"/>
          <w:sz w:val="24"/>
          <w:szCs w:val="24"/>
        </w:rPr>
        <w:t>4.</w:t>
      </w:r>
      <w:r>
        <w:rPr>
          <w:rFonts w:hint="eastAsia" w:ascii="仿宋" w:hAnsi="仿宋" w:eastAsia="仿宋"/>
          <w:sz w:val="24"/>
          <w:szCs w:val="24"/>
          <w:lang w:eastAsia="zh-CN"/>
        </w:rPr>
        <w:t>响应供应商</w:t>
      </w:r>
      <w:r>
        <w:rPr>
          <w:rFonts w:hint="eastAsia" w:ascii="仿宋" w:hAnsi="仿宋" w:eastAsia="仿宋"/>
          <w:sz w:val="24"/>
          <w:szCs w:val="24"/>
        </w:rPr>
        <w:t>应当对其出具的《中小企业声明函》真实性负责，</w:t>
      </w:r>
      <w:r>
        <w:rPr>
          <w:rFonts w:hint="eastAsia" w:ascii="仿宋" w:hAnsi="仿宋" w:eastAsia="仿宋"/>
          <w:sz w:val="24"/>
          <w:szCs w:val="24"/>
          <w:lang w:eastAsia="zh-CN"/>
        </w:rPr>
        <w:t>响应供应商</w:t>
      </w:r>
      <w:r>
        <w:rPr>
          <w:rFonts w:hint="eastAsia" w:ascii="仿宋" w:hAnsi="仿宋" w:eastAsia="仿宋"/>
          <w:sz w:val="24"/>
          <w:szCs w:val="24"/>
        </w:rPr>
        <w:t>出具的《中小企业声明函》内容不实的，属于提供虚假材料谋取</w:t>
      </w:r>
      <w:r>
        <w:rPr>
          <w:rFonts w:hint="eastAsia" w:ascii="仿宋" w:hAnsi="仿宋" w:eastAsia="仿宋"/>
          <w:sz w:val="24"/>
          <w:szCs w:val="24"/>
          <w:lang w:eastAsia="zh-CN"/>
        </w:rPr>
        <w:t>成交</w:t>
      </w:r>
      <w:r>
        <w:rPr>
          <w:rFonts w:hint="eastAsia" w:ascii="仿宋" w:hAnsi="仿宋" w:eastAsia="仿宋"/>
          <w:sz w:val="24"/>
          <w:szCs w:val="24"/>
        </w:rPr>
        <w:t>。在实际操作中，</w:t>
      </w:r>
      <w:r>
        <w:rPr>
          <w:rFonts w:hint="eastAsia" w:ascii="仿宋" w:hAnsi="仿宋" w:eastAsia="仿宋"/>
          <w:sz w:val="24"/>
          <w:szCs w:val="24"/>
          <w:lang w:eastAsia="zh-CN"/>
        </w:rPr>
        <w:t>响应供应商</w:t>
      </w:r>
      <w:r>
        <w:rPr>
          <w:rFonts w:hint="eastAsia" w:ascii="仿宋" w:hAnsi="仿宋" w:eastAsia="仿宋"/>
          <w:sz w:val="24"/>
          <w:szCs w:val="24"/>
        </w:rPr>
        <w:t>希望获得中小企业扶持政策支持的，应从制造商处获得充分、准确的信息。对相关制造商信息了解不充分，或者不能确定相关信息真实、准确的，不建议出具《中小企业声明函》。</w:t>
      </w:r>
    </w:p>
    <w:bookmarkEnd w:id="899"/>
    <w:bookmarkEnd w:id="900"/>
    <w:bookmarkEnd w:id="901"/>
    <w:p w14:paraId="2533BF87">
      <w:pPr>
        <w:spacing w:line="360" w:lineRule="auto"/>
        <w:outlineLvl w:val="1"/>
        <w:rPr>
          <w:sz w:val="28"/>
          <w:szCs w:val="28"/>
        </w:rPr>
      </w:pPr>
      <w:bookmarkStart w:id="910" w:name="_Toc90148947"/>
      <w:bookmarkStart w:id="911" w:name="_Toc32156"/>
      <w:bookmarkStart w:id="912" w:name="_Toc91288876"/>
      <w:bookmarkStart w:id="913" w:name="_Toc16433"/>
      <w:bookmarkStart w:id="914" w:name="_Toc482255109"/>
      <w:r>
        <w:rPr>
          <w:rFonts w:ascii="宋体" w:hAnsi="宋体" w:cs="Tahoma"/>
          <w:b/>
          <w:sz w:val="24"/>
        </w:rPr>
        <w:t>附件</w:t>
      </w:r>
      <w:r>
        <w:rPr>
          <w:rFonts w:hint="eastAsia" w:ascii="宋体" w:hAnsi="宋体" w:cs="Tahoma"/>
          <w:b/>
          <w:sz w:val="24"/>
        </w:rPr>
        <w:t>1</w:t>
      </w:r>
      <w:r>
        <w:rPr>
          <w:rFonts w:hint="eastAsia" w:ascii="宋体" w:hAnsi="宋体" w:cs="Tahoma"/>
          <w:b/>
          <w:sz w:val="24"/>
          <w:lang w:val="en-US" w:eastAsia="zh-CN"/>
        </w:rPr>
        <w:t>0</w:t>
      </w:r>
      <w:r>
        <w:rPr>
          <w:rFonts w:hint="eastAsia" w:ascii="宋体" w:hAnsi="宋体" w:cs="Tahoma"/>
          <w:b/>
          <w:sz w:val="24"/>
        </w:rPr>
        <w:t xml:space="preserve"> 项目经验一览表</w:t>
      </w:r>
      <w:bookmarkEnd w:id="910"/>
      <w:bookmarkEnd w:id="911"/>
      <w:bookmarkEnd w:id="912"/>
      <w:bookmarkEnd w:id="913"/>
    </w:p>
    <w:p w14:paraId="3CA82D35">
      <w:pPr>
        <w:spacing w:line="360" w:lineRule="auto"/>
        <w:ind w:left="1"/>
        <w:rPr>
          <w:rFonts w:ascii="宋体" w:hAnsi="宋体" w:cs="Tahoma"/>
          <w:sz w:val="24"/>
        </w:rPr>
      </w:pPr>
      <w:r>
        <w:rPr>
          <w:rFonts w:hint="eastAsia" w:ascii="宋体" w:hAnsi="宋体"/>
          <w:sz w:val="24"/>
        </w:rPr>
        <w:t>项目名称：</w:t>
      </w:r>
      <w:r>
        <w:rPr>
          <w:rFonts w:hint="eastAsia" w:ascii="宋体" w:hAnsi="宋体" w:cs="Tahoma"/>
          <w:sz w:val="24"/>
          <w:lang w:eastAsia="zh-CN"/>
        </w:rPr>
        <w:t>广东省粤东技师学院海天数智化综合实训基地改造工程</w:t>
      </w:r>
    </w:p>
    <w:p w14:paraId="6A26C3D0">
      <w:pPr>
        <w:spacing w:line="360" w:lineRule="auto"/>
        <w:rPr>
          <w:rFonts w:hint="eastAsia" w:ascii="宋体" w:hAnsi="宋体" w:eastAsia="宋体"/>
          <w:sz w:val="24"/>
          <w:lang w:eastAsia="zh-CN"/>
        </w:rPr>
      </w:pPr>
      <w:r>
        <w:rPr>
          <w:rFonts w:hint="eastAsia" w:ascii="宋体" w:hAnsi="宋体"/>
          <w:sz w:val="24"/>
        </w:rPr>
        <w:t>项目编号：</w:t>
      </w:r>
      <w:r>
        <w:rPr>
          <w:rFonts w:hint="eastAsia" w:ascii="宋体" w:cs="Tahoma"/>
          <w:bCs/>
          <w:sz w:val="24"/>
          <w:lang w:eastAsia="zh-CN"/>
        </w:rPr>
        <w:t>YL202411248</w:t>
      </w:r>
    </w:p>
    <w:tbl>
      <w:tblPr>
        <w:tblStyle w:val="50"/>
        <w:tblW w:w="978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721"/>
        <w:gridCol w:w="1417"/>
        <w:gridCol w:w="1351"/>
        <w:gridCol w:w="1501"/>
        <w:gridCol w:w="1418"/>
        <w:gridCol w:w="1614"/>
      </w:tblGrid>
      <w:tr w14:paraId="4694A7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63" w:type="dxa"/>
            <w:shd w:val="clear" w:color="auto" w:fill="D9D9D9"/>
            <w:vAlign w:val="center"/>
          </w:tcPr>
          <w:p w14:paraId="4226D95D">
            <w:pPr>
              <w:jc w:val="center"/>
              <w:rPr>
                <w:rFonts w:ascii="宋体" w:hAnsi="宋体"/>
                <w:b/>
                <w:sz w:val="24"/>
              </w:rPr>
            </w:pPr>
            <w:r>
              <w:rPr>
                <w:rFonts w:hint="eastAsia" w:ascii="宋体" w:hAnsi="宋体"/>
                <w:b/>
                <w:sz w:val="24"/>
              </w:rPr>
              <w:t>序号</w:t>
            </w:r>
          </w:p>
        </w:tc>
        <w:tc>
          <w:tcPr>
            <w:tcW w:w="1721" w:type="dxa"/>
            <w:shd w:val="clear" w:color="auto" w:fill="D9D9D9"/>
            <w:vAlign w:val="center"/>
          </w:tcPr>
          <w:p w14:paraId="755604F6">
            <w:pPr>
              <w:jc w:val="center"/>
              <w:rPr>
                <w:rFonts w:ascii="宋体" w:hAnsi="宋体"/>
                <w:b/>
                <w:sz w:val="24"/>
              </w:rPr>
            </w:pPr>
            <w:r>
              <w:rPr>
                <w:rFonts w:hint="eastAsia" w:ascii="宋体" w:hAnsi="宋体"/>
                <w:b/>
                <w:sz w:val="24"/>
              </w:rPr>
              <w:t>项目名称</w:t>
            </w:r>
          </w:p>
        </w:tc>
        <w:tc>
          <w:tcPr>
            <w:tcW w:w="1417" w:type="dxa"/>
            <w:shd w:val="clear" w:color="auto" w:fill="D9D9D9"/>
            <w:vAlign w:val="center"/>
          </w:tcPr>
          <w:p w14:paraId="783B10ED">
            <w:pPr>
              <w:jc w:val="center"/>
              <w:rPr>
                <w:rFonts w:ascii="宋体" w:hAnsi="宋体"/>
                <w:b/>
                <w:sz w:val="24"/>
              </w:rPr>
            </w:pPr>
            <w:r>
              <w:rPr>
                <w:rFonts w:hint="eastAsia" w:ascii="宋体" w:hAnsi="宋体"/>
                <w:b/>
                <w:sz w:val="24"/>
              </w:rPr>
              <w:t>招标单位</w:t>
            </w:r>
          </w:p>
        </w:tc>
        <w:tc>
          <w:tcPr>
            <w:tcW w:w="1351" w:type="dxa"/>
            <w:shd w:val="clear" w:color="auto" w:fill="D9D9D9"/>
            <w:vAlign w:val="center"/>
          </w:tcPr>
          <w:p w14:paraId="16B60A74">
            <w:pPr>
              <w:jc w:val="center"/>
              <w:rPr>
                <w:rFonts w:ascii="宋体" w:hAnsi="宋体"/>
                <w:b/>
                <w:sz w:val="24"/>
              </w:rPr>
            </w:pPr>
            <w:r>
              <w:rPr>
                <w:rFonts w:ascii="宋体" w:hAnsi="宋体"/>
                <w:b/>
                <w:sz w:val="24"/>
              </w:rPr>
              <w:t>合同金额</w:t>
            </w:r>
          </w:p>
        </w:tc>
        <w:tc>
          <w:tcPr>
            <w:tcW w:w="1501" w:type="dxa"/>
            <w:shd w:val="clear" w:color="auto" w:fill="D9D9D9"/>
            <w:vAlign w:val="center"/>
          </w:tcPr>
          <w:p w14:paraId="40EBADDE">
            <w:pPr>
              <w:jc w:val="center"/>
              <w:rPr>
                <w:rFonts w:ascii="宋体" w:hAnsi="宋体"/>
                <w:b/>
                <w:sz w:val="24"/>
              </w:rPr>
            </w:pPr>
            <w:r>
              <w:rPr>
                <w:rFonts w:hint="eastAsia" w:ascii="宋体" w:hAnsi="宋体"/>
                <w:b/>
                <w:sz w:val="24"/>
              </w:rPr>
              <w:t>合同签订</w:t>
            </w:r>
          </w:p>
          <w:p w14:paraId="2B88F444">
            <w:pPr>
              <w:jc w:val="center"/>
              <w:rPr>
                <w:rFonts w:ascii="宋体" w:hAnsi="宋体"/>
                <w:b/>
                <w:sz w:val="24"/>
              </w:rPr>
            </w:pPr>
            <w:r>
              <w:rPr>
                <w:rFonts w:hint="eastAsia" w:ascii="宋体" w:hAnsi="宋体"/>
                <w:b/>
                <w:sz w:val="24"/>
              </w:rPr>
              <w:t>时间</w:t>
            </w:r>
          </w:p>
        </w:tc>
        <w:tc>
          <w:tcPr>
            <w:tcW w:w="1418" w:type="dxa"/>
            <w:shd w:val="clear" w:color="auto" w:fill="D9D9D9"/>
            <w:vAlign w:val="center"/>
          </w:tcPr>
          <w:p w14:paraId="03A1AD7D">
            <w:pPr>
              <w:jc w:val="center"/>
              <w:rPr>
                <w:rFonts w:hint="eastAsia" w:ascii="宋体" w:hAnsi="宋体" w:eastAsia="宋体"/>
                <w:b/>
                <w:sz w:val="24"/>
                <w:lang w:eastAsia="zh-CN"/>
              </w:rPr>
            </w:pPr>
            <w:r>
              <w:rPr>
                <w:rFonts w:hint="eastAsia" w:ascii="宋体" w:hAnsi="宋体"/>
                <w:b/>
                <w:sz w:val="24"/>
                <w:lang w:eastAsia="zh-CN"/>
              </w:rPr>
              <w:t>工期</w:t>
            </w:r>
          </w:p>
        </w:tc>
        <w:tc>
          <w:tcPr>
            <w:tcW w:w="1614" w:type="dxa"/>
            <w:shd w:val="clear" w:color="auto" w:fill="D9D9D9"/>
            <w:vAlign w:val="center"/>
          </w:tcPr>
          <w:p w14:paraId="6F6ABF30">
            <w:pPr>
              <w:jc w:val="center"/>
              <w:rPr>
                <w:rFonts w:ascii="宋体" w:hAnsi="宋体"/>
                <w:b/>
                <w:sz w:val="24"/>
              </w:rPr>
            </w:pPr>
            <w:r>
              <w:rPr>
                <w:rFonts w:hint="eastAsia" w:ascii="宋体" w:hAnsi="宋体"/>
                <w:b/>
                <w:sz w:val="24"/>
              </w:rPr>
              <w:t>业主联系人及联系电话</w:t>
            </w:r>
          </w:p>
        </w:tc>
      </w:tr>
      <w:tr w14:paraId="5B35D3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63" w:type="dxa"/>
            <w:vAlign w:val="center"/>
          </w:tcPr>
          <w:p w14:paraId="0CE9BFDC">
            <w:pPr>
              <w:jc w:val="center"/>
              <w:rPr>
                <w:rFonts w:ascii="宋体" w:hAnsi="宋体"/>
                <w:sz w:val="24"/>
              </w:rPr>
            </w:pPr>
          </w:p>
        </w:tc>
        <w:tc>
          <w:tcPr>
            <w:tcW w:w="1721" w:type="dxa"/>
            <w:vAlign w:val="center"/>
          </w:tcPr>
          <w:p w14:paraId="79D50B2E">
            <w:pPr>
              <w:pStyle w:val="27"/>
              <w:jc w:val="center"/>
              <w:rPr>
                <w:rFonts w:ascii="宋体" w:hAnsi="宋体"/>
              </w:rPr>
            </w:pPr>
          </w:p>
        </w:tc>
        <w:tc>
          <w:tcPr>
            <w:tcW w:w="1417" w:type="dxa"/>
            <w:vAlign w:val="center"/>
          </w:tcPr>
          <w:p w14:paraId="5A5C32E3">
            <w:pPr>
              <w:jc w:val="center"/>
              <w:rPr>
                <w:rFonts w:ascii="宋体" w:hAnsi="宋体"/>
                <w:sz w:val="24"/>
              </w:rPr>
            </w:pPr>
          </w:p>
        </w:tc>
        <w:tc>
          <w:tcPr>
            <w:tcW w:w="1351" w:type="dxa"/>
            <w:vAlign w:val="center"/>
          </w:tcPr>
          <w:p w14:paraId="3E5E30C9">
            <w:pPr>
              <w:jc w:val="center"/>
              <w:rPr>
                <w:rFonts w:ascii="宋体" w:hAnsi="宋体"/>
                <w:sz w:val="24"/>
              </w:rPr>
            </w:pPr>
          </w:p>
        </w:tc>
        <w:tc>
          <w:tcPr>
            <w:tcW w:w="1501" w:type="dxa"/>
            <w:vAlign w:val="center"/>
          </w:tcPr>
          <w:p w14:paraId="14290DD9">
            <w:pPr>
              <w:jc w:val="center"/>
              <w:rPr>
                <w:rFonts w:ascii="宋体" w:hAnsi="宋体"/>
                <w:sz w:val="24"/>
              </w:rPr>
            </w:pPr>
          </w:p>
        </w:tc>
        <w:tc>
          <w:tcPr>
            <w:tcW w:w="1418" w:type="dxa"/>
            <w:vAlign w:val="center"/>
          </w:tcPr>
          <w:p w14:paraId="03ABAB33">
            <w:pPr>
              <w:jc w:val="center"/>
              <w:rPr>
                <w:rFonts w:ascii="宋体" w:hAnsi="宋体"/>
                <w:sz w:val="24"/>
              </w:rPr>
            </w:pPr>
          </w:p>
        </w:tc>
        <w:tc>
          <w:tcPr>
            <w:tcW w:w="1614" w:type="dxa"/>
            <w:vAlign w:val="center"/>
          </w:tcPr>
          <w:p w14:paraId="306119D5">
            <w:pPr>
              <w:jc w:val="center"/>
              <w:rPr>
                <w:rFonts w:ascii="宋体" w:hAnsi="宋体"/>
                <w:sz w:val="24"/>
              </w:rPr>
            </w:pPr>
          </w:p>
        </w:tc>
      </w:tr>
      <w:tr w14:paraId="604E6B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63" w:type="dxa"/>
            <w:vAlign w:val="center"/>
          </w:tcPr>
          <w:p w14:paraId="752E801B">
            <w:pPr>
              <w:jc w:val="center"/>
              <w:rPr>
                <w:rFonts w:ascii="宋体" w:hAnsi="宋体"/>
                <w:sz w:val="24"/>
              </w:rPr>
            </w:pPr>
          </w:p>
        </w:tc>
        <w:tc>
          <w:tcPr>
            <w:tcW w:w="1721" w:type="dxa"/>
            <w:vAlign w:val="center"/>
          </w:tcPr>
          <w:p w14:paraId="713CBA45">
            <w:pPr>
              <w:jc w:val="center"/>
              <w:rPr>
                <w:rFonts w:ascii="宋体" w:hAnsi="宋体"/>
                <w:sz w:val="24"/>
              </w:rPr>
            </w:pPr>
          </w:p>
        </w:tc>
        <w:tc>
          <w:tcPr>
            <w:tcW w:w="1417" w:type="dxa"/>
            <w:vAlign w:val="center"/>
          </w:tcPr>
          <w:p w14:paraId="2E357957">
            <w:pPr>
              <w:jc w:val="center"/>
              <w:rPr>
                <w:rFonts w:ascii="宋体" w:hAnsi="宋体"/>
                <w:sz w:val="24"/>
              </w:rPr>
            </w:pPr>
          </w:p>
        </w:tc>
        <w:tc>
          <w:tcPr>
            <w:tcW w:w="1351" w:type="dxa"/>
            <w:vAlign w:val="center"/>
          </w:tcPr>
          <w:p w14:paraId="544E8507">
            <w:pPr>
              <w:jc w:val="center"/>
              <w:rPr>
                <w:rFonts w:ascii="宋体" w:hAnsi="宋体"/>
                <w:sz w:val="24"/>
              </w:rPr>
            </w:pPr>
          </w:p>
        </w:tc>
        <w:tc>
          <w:tcPr>
            <w:tcW w:w="1501" w:type="dxa"/>
            <w:vAlign w:val="center"/>
          </w:tcPr>
          <w:p w14:paraId="616F8F8D">
            <w:pPr>
              <w:jc w:val="center"/>
              <w:rPr>
                <w:rFonts w:ascii="宋体" w:hAnsi="宋体"/>
                <w:sz w:val="24"/>
              </w:rPr>
            </w:pPr>
          </w:p>
        </w:tc>
        <w:tc>
          <w:tcPr>
            <w:tcW w:w="1418" w:type="dxa"/>
            <w:vAlign w:val="center"/>
          </w:tcPr>
          <w:p w14:paraId="7BEC9686">
            <w:pPr>
              <w:jc w:val="center"/>
              <w:rPr>
                <w:rFonts w:ascii="宋体" w:hAnsi="宋体"/>
                <w:sz w:val="24"/>
              </w:rPr>
            </w:pPr>
          </w:p>
        </w:tc>
        <w:tc>
          <w:tcPr>
            <w:tcW w:w="1614" w:type="dxa"/>
            <w:vAlign w:val="center"/>
          </w:tcPr>
          <w:p w14:paraId="03C0997A">
            <w:pPr>
              <w:jc w:val="center"/>
              <w:rPr>
                <w:rFonts w:ascii="宋体" w:hAnsi="宋体"/>
                <w:sz w:val="24"/>
              </w:rPr>
            </w:pPr>
          </w:p>
        </w:tc>
      </w:tr>
    </w:tbl>
    <w:p w14:paraId="25EAE678">
      <w:pPr>
        <w:spacing w:line="360" w:lineRule="auto"/>
        <w:ind w:firstLine="480" w:firstLineChars="200"/>
        <w:rPr>
          <w:rFonts w:ascii="仿宋" w:hAnsi="仿宋" w:eastAsia="仿宋"/>
          <w:sz w:val="24"/>
          <w:szCs w:val="24"/>
        </w:rPr>
      </w:pPr>
      <w:r>
        <w:rPr>
          <w:rFonts w:hint="eastAsia" w:ascii="仿宋" w:hAnsi="仿宋" w:eastAsia="仿宋"/>
          <w:sz w:val="24"/>
          <w:szCs w:val="24"/>
        </w:rPr>
        <w:t>注：请根据评审标准提供相应证明材料。</w:t>
      </w:r>
    </w:p>
    <w:p w14:paraId="69D81CDE"/>
    <w:p w14:paraId="18D2E8E4">
      <w:pPr>
        <w:spacing w:line="360" w:lineRule="auto"/>
        <w:ind w:firstLine="480"/>
        <w:rPr>
          <w:rFonts w:ascii="宋体" w:hAnsi="宋体"/>
          <w:sz w:val="24"/>
        </w:rPr>
      </w:pPr>
      <w:r>
        <w:rPr>
          <w:rFonts w:hint="eastAsia" w:ascii="宋体" w:hAnsi="宋体"/>
          <w:sz w:val="24"/>
          <w:lang w:eastAsia="zh-CN"/>
        </w:rPr>
        <w:t>响应供应商</w:t>
      </w:r>
      <w:r>
        <w:rPr>
          <w:rFonts w:hint="eastAsia" w:ascii="宋体" w:hAnsi="宋体"/>
          <w:sz w:val="24"/>
        </w:rPr>
        <w:t>全称（盖公章）：</w:t>
      </w:r>
    </w:p>
    <w:p w14:paraId="2825640C">
      <w:pPr>
        <w:spacing w:line="360" w:lineRule="auto"/>
        <w:ind w:firstLine="480"/>
        <w:rPr>
          <w:rFonts w:ascii="宋体" w:hAnsi="宋体"/>
          <w:sz w:val="24"/>
        </w:rPr>
      </w:pPr>
      <w:r>
        <w:rPr>
          <w:rFonts w:hint="eastAsia" w:ascii="宋体" w:hAnsi="宋体"/>
          <w:sz w:val="24"/>
        </w:rPr>
        <w:t>法定代表人或授权代表（签名或盖章）：</w:t>
      </w:r>
    </w:p>
    <w:p w14:paraId="262120B0">
      <w:pPr>
        <w:spacing w:line="360" w:lineRule="auto"/>
        <w:ind w:firstLine="480"/>
        <w:rPr>
          <w:rFonts w:ascii="宋体" w:hAnsi="宋体"/>
          <w:sz w:val="24"/>
        </w:rPr>
      </w:pPr>
      <w:r>
        <w:rPr>
          <w:rFonts w:hint="eastAsia" w:ascii="宋体" w:hAnsi="宋体"/>
          <w:sz w:val="24"/>
        </w:rPr>
        <w:t>日    期：     年   月   日</w:t>
      </w:r>
    </w:p>
    <w:p w14:paraId="2FEFFCF6"/>
    <w:p w14:paraId="11C2BA4B">
      <w:pPr>
        <w:spacing w:line="360" w:lineRule="auto"/>
        <w:outlineLvl w:val="1"/>
        <w:rPr>
          <w:rFonts w:ascii="宋体" w:hAnsi="宋体" w:cs="Tahoma"/>
          <w:b/>
          <w:sz w:val="24"/>
        </w:rPr>
      </w:pPr>
      <w:bookmarkStart w:id="915" w:name="_Toc91288877"/>
      <w:bookmarkStart w:id="916" w:name="_Toc24026"/>
      <w:bookmarkStart w:id="917" w:name="_Toc6898"/>
      <w:bookmarkStart w:id="918" w:name="_Toc90148948"/>
      <w:r>
        <w:rPr>
          <w:rFonts w:hint="eastAsia" w:ascii="宋体" w:hAnsi="宋体" w:cs="Tahoma"/>
          <w:b/>
          <w:sz w:val="24"/>
        </w:rPr>
        <w:t>附件1</w:t>
      </w:r>
      <w:r>
        <w:rPr>
          <w:rFonts w:hint="eastAsia" w:ascii="宋体" w:hAnsi="宋体" w:cs="Tahoma"/>
          <w:b/>
          <w:sz w:val="24"/>
          <w:lang w:val="en-US" w:eastAsia="zh-CN"/>
        </w:rPr>
        <w:t>1</w:t>
      </w:r>
      <w:r>
        <w:rPr>
          <w:rFonts w:hint="eastAsia" w:ascii="宋体" w:hAnsi="宋体" w:cs="Tahoma"/>
          <w:b/>
          <w:sz w:val="24"/>
        </w:rPr>
        <w:t xml:space="preserve"> 企业证书情况表</w:t>
      </w:r>
      <w:bookmarkEnd w:id="915"/>
      <w:bookmarkEnd w:id="916"/>
      <w:bookmarkEnd w:id="917"/>
      <w:bookmarkEnd w:id="918"/>
    </w:p>
    <w:p w14:paraId="202C1799">
      <w:pPr>
        <w:spacing w:line="360" w:lineRule="auto"/>
        <w:ind w:left="1"/>
        <w:rPr>
          <w:rFonts w:ascii="宋体" w:hAnsi="宋体" w:cs="Tahoma"/>
          <w:sz w:val="24"/>
        </w:rPr>
      </w:pPr>
      <w:r>
        <w:rPr>
          <w:rFonts w:hint="eastAsia" w:ascii="宋体" w:hAnsi="宋体"/>
          <w:sz w:val="24"/>
        </w:rPr>
        <w:t>项目名称：</w:t>
      </w:r>
      <w:r>
        <w:rPr>
          <w:rFonts w:hint="eastAsia" w:ascii="宋体" w:hAnsi="宋体" w:cs="Tahoma"/>
          <w:sz w:val="24"/>
          <w:lang w:eastAsia="zh-CN"/>
        </w:rPr>
        <w:t>广东省粤东技师学院海天数智化综合实训基地改造工程</w:t>
      </w:r>
    </w:p>
    <w:p w14:paraId="4D5AE058">
      <w:pPr>
        <w:spacing w:line="360" w:lineRule="auto"/>
        <w:rPr>
          <w:rFonts w:hint="eastAsia" w:ascii="宋体" w:hAnsi="宋体" w:eastAsia="宋体"/>
          <w:sz w:val="24"/>
          <w:lang w:eastAsia="zh-CN"/>
        </w:rPr>
      </w:pPr>
      <w:r>
        <w:rPr>
          <w:rFonts w:hint="eastAsia" w:ascii="宋体" w:hAnsi="宋体"/>
          <w:sz w:val="24"/>
        </w:rPr>
        <w:t>项目编号：</w:t>
      </w:r>
      <w:r>
        <w:rPr>
          <w:rFonts w:hint="eastAsia" w:ascii="宋体" w:cs="Tahoma"/>
          <w:bCs/>
          <w:sz w:val="24"/>
          <w:lang w:eastAsia="zh-CN"/>
        </w:rPr>
        <w:t>YL202411248</w:t>
      </w:r>
    </w:p>
    <w:tbl>
      <w:tblPr>
        <w:tblStyle w:val="5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3803"/>
        <w:gridCol w:w="2880"/>
        <w:gridCol w:w="2182"/>
      </w:tblGrid>
      <w:tr w14:paraId="4E1D76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828" w:type="dxa"/>
            <w:vAlign w:val="center"/>
          </w:tcPr>
          <w:p w14:paraId="4D43B200">
            <w:pPr>
              <w:jc w:val="center"/>
              <w:rPr>
                <w:b/>
                <w:bCs/>
                <w:sz w:val="24"/>
                <w:szCs w:val="24"/>
              </w:rPr>
            </w:pPr>
            <w:r>
              <w:rPr>
                <w:rFonts w:hint="eastAsia"/>
                <w:b/>
                <w:bCs/>
                <w:sz w:val="24"/>
                <w:szCs w:val="24"/>
              </w:rPr>
              <w:t>序号</w:t>
            </w:r>
          </w:p>
        </w:tc>
        <w:tc>
          <w:tcPr>
            <w:tcW w:w="3803" w:type="dxa"/>
            <w:vAlign w:val="center"/>
          </w:tcPr>
          <w:p w14:paraId="61AFB5CE">
            <w:pPr>
              <w:jc w:val="center"/>
              <w:rPr>
                <w:b/>
                <w:bCs/>
                <w:sz w:val="24"/>
                <w:szCs w:val="24"/>
              </w:rPr>
            </w:pPr>
            <w:r>
              <w:rPr>
                <w:rFonts w:hint="eastAsia"/>
                <w:b/>
                <w:bCs/>
                <w:sz w:val="24"/>
                <w:szCs w:val="24"/>
              </w:rPr>
              <w:t>证书名称</w:t>
            </w:r>
          </w:p>
        </w:tc>
        <w:tc>
          <w:tcPr>
            <w:tcW w:w="2880" w:type="dxa"/>
            <w:vAlign w:val="center"/>
          </w:tcPr>
          <w:p w14:paraId="5E6A7871">
            <w:pPr>
              <w:jc w:val="center"/>
              <w:rPr>
                <w:b/>
                <w:bCs/>
                <w:sz w:val="24"/>
                <w:szCs w:val="24"/>
              </w:rPr>
            </w:pPr>
            <w:r>
              <w:rPr>
                <w:rFonts w:hint="eastAsia"/>
                <w:b/>
                <w:bCs/>
                <w:sz w:val="24"/>
                <w:szCs w:val="24"/>
              </w:rPr>
              <w:t>发证单位</w:t>
            </w:r>
          </w:p>
        </w:tc>
        <w:tc>
          <w:tcPr>
            <w:tcW w:w="2182" w:type="dxa"/>
            <w:vAlign w:val="center"/>
          </w:tcPr>
          <w:p w14:paraId="1336BFF0">
            <w:pPr>
              <w:jc w:val="center"/>
              <w:rPr>
                <w:b/>
                <w:bCs/>
                <w:sz w:val="24"/>
                <w:szCs w:val="24"/>
              </w:rPr>
            </w:pPr>
            <w:r>
              <w:rPr>
                <w:rFonts w:hint="eastAsia"/>
                <w:b/>
                <w:bCs/>
                <w:sz w:val="24"/>
                <w:szCs w:val="24"/>
              </w:rPr>
              <w:t>有效期限</w:t>
            </w:r>
          </w:p>
        </w:tc>
      </w:tr>
      <w:tr w14:paraId="6921E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28" w:type="dxa"/>
            <w:vAlign w:val="center"/>
          </w:tcPr>
          <w:p w14:paraId="340CB345">
            <w:pPr>
              <w:tabs>
                <w:tab w:val="center" w:pos="4153"/>
                <w:tab w:val="right" w:pos="8306"/>
              </w:tabs>
              <w:snapToGrid w:val="0"/>
              <w:jc w:val="center"/>
              <w:rPr>
                <w:rFonts w:ascii="宋体" w:hAnsi="宋体"/>
                <w:sz w:val="24"/>
              </w:rPr>
            </w:pPr>
          </w:p>
        </w:tc>
        <w:tc>
          <w:tcPr>
            <w:tcW w:w="3803" w:type="dxa"/>
            <w:vAlign w:val="center"/>
          </w:tcPr>
          <w:p w14:paraId="43BA542D">
            <w:pPr>
              <w:tabs>
                <w:tab w:val="center" w:pos="4153"/>
                <w:tab w:val="right" w:pos="8306"/>
              </w:tabs>
              <w:snapToGrid w:val="0"/>
              <w:rPr>
                <w:rFonts w:ascii="宋体" w:hAnsi="宋体"/>
                <w:sz w:val="24"/>
              </w:rPr>
            </w:pPr>
          </w:p>
        </w:tc>
        <w:tc>
          <w:tcPr>
            <w:tcW w:w="2880" w:type="dxa"/>
            <w:vAlign w:val="center"/>
          </w:tcPr>
          <w:p w14:paraId="165FCC67">
            <w:pPr>
              <w:tabs>
                <w:tab w:val="center" w:pos="4153"/>
                <w:tab w:val="right" w:pos="8306"/>
              </w:tabs>
              <w:snapToGrid w:val="0"/>
              <w:rPr>
                <w:rFonts w:ascii="宋体" w:hAnsi="宋体"/>
                <w:sz w:val="24"/>
              </w:rPr>
            </w:pPr>
          </w:p>
        </w:tc>
        <w:tc>
          <w:tcPr>
            <w:tcW w:w="2182" w:type="dxa"/>
            <w:vAlign w:val="center"/>
          </w:tcPr>
          <w:p w14:paraId="777E3016">
            <w:pPr>
              <w:tabs>
                <w:tab w:val="center" w:pos="4153"/>
                <w:tab w:val="right" w:pos="8306"/>
              </w:tabs>
              <w:snapToGrid w:val="0"/>
              <w:jc w:val="center"/>
              <w:rPr>
                <w:rFonts w:ascii="宋体" w:hAnsi="宋体"/>
                <w:sz w:val="24"/>
              </w:rPr>
            </w:pPr>
          </w:p>
        </w:tc>
      </w:tr>
      <w:tr w14:paraId="4C410C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28" w:type="dxa"/>
            <w:vAlign w:val="center"/>
          </w:tcPr>
          <w:p w14:paraId="6BD352E9">
            <w:pPr>
              <w:tabs>
                <w:tab w:val="center" w:pos="4153"/>
                <w:tab w:val="right" w:pos="8306"/>
              </w:tabs>
              <w:snapToGrid w:val="0"/>
              <w:jc w:val="center"/>
              <w:rPr>
                <w:rFonts w:ascii="宋体" w:hAnsi="宋体"/>
                <w:sz w:val="24"/>
              </w:rPr>
            </w:pPr>
          </w:p>
        </w:tc>
        <w:tc>
          <w:tcPr>
            <w:tcW w:w="3803" w:type="dxa"/>
            <w:vAlign w:val="center"/>
          </w:tcPr>
          <w:p w14:paraId="3CB6F09D">
            <w:pPr>
              <w:tabs>
                <w:tab w:val="center" w:pos="4153"/>
                <w:tab w:val="right" w:pos="8306"/>
              </w:tabs>
              <w:snapToGrid w:val="0"/>
              <w:rPr>
                <w:rFonts w:ascii="宋体" w:hAnsi="宋体"/>
                <w:sz w:val="24"/>
              </w:rPr>
            </w:pPr>
          </w:p>
        </w:tc>
        <w:tc>
          <w:tcPr>
            <w:tcW w:w="2880" w:type="dxa"/>
            <w:vAlign w:val="center"/>
          </w:tcPr>
          <w:p w14:paraId="3A84FC85">
            <w:pPr>
              <w:tabs>
                <w:tab w:val="center" w:pos="4153"/>
                <w:tab w:val="right" w:pos="8306"/>
              </w:tabs>
              <w:snapToGrid w:val="0"/>
              <w:rPr>
                <w:rFonts w:ascii="宋体" w:hAnsi="宋体"/>
                <w:sz w:val="24"/>
              </w:rPr>
            </w:pPr>
          </w:p>
        </w:tc>
        <w:tc>
          <w:tcPr>
            <w:tcW w:w="2182" w:type="dxa"/>
            <w:vAlign w:val="center"/>
          </w:tcPr>
          <w:p w14:paraId="1656A64B">
            <w:pPr>
              <w:tabs>
                <w:tab w:val="center" w:pos="4153"/>
                <w:tab w:val="right" w:pos="8306"/>
              </w:tabs>
              <w:snapToGrid w:val="0"/>
              <w:jc w:val="center"/>
              <w:rPr>
                <w:rFonts w:ascii="宋体" w:hAnsi="宋体"/>
                <w:sz w:val="24"/>
              </w:rPr>
            </w:pPr>
          </w:p>
        </w:tc>
      </w:tr>
      <w:tr w14:paraId="1D3F7D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28" w:type="dxa"/>
            <w:vAlign w:val="center"/>
          </w:tcPr>
          <w:p w14:paraId="054A2568">
            <w:pPr>
              <w:tabs>
                <w:tab w:val="center" w:pos="4153"/>
                <w:tab w:val="right" w:pos="8306"/>
              </w:tabs>
              <w:snapToGrid w:val="0"/>
              <w:jc w:val="center"/>
              <w:rPr>
                <w:rFonts w:ascii="宋体" w:hAnsi="宋体"/>
                <w:sz w:val="24"/>
              </w:rPr>
            </w:pPr>
            <w:r>
              <w:rPr>
                <w:rFonts w:hint="eastAsia" w:ascii="宋体" w:hAnsi="宋体"/>
                <w:sz w:val="24"/>
              </w:rPr>
              <w:t>…</w:t>
            </w:r>
          </w:p>
        </w:tc>
        <w:tc>
          <w:tcPr>
            <w:tcW w:w="3803" w:type="dxa"/>
            <w:vAlign w:val="center"/>
          </w:tcPr>
          <w:p w14:paraId="71565AD7">
            <w:pPr>
              <w:tabs>
                <w:tab w:val="center" w:pos="4153"/>
                <w:tab w:val="right" w:pos="8306"/>
              </w:tabs>
              <w:snapToGrid w:val="0"/>
              <w:rPr>
                <w:rFonts w:ascii="宋体" w:hAnsi="宋体"/>
                <w:sz w:val="24"/>
              </w:rPr>
            </w:pPr>
          </w:p>
        </w:tc>
        <w:tc>
          <w:tcPr>
            <w:tcW w:w="2880" w:type="dxa"/>
            <w:vAlign w:val="center"/>
          </w:tcPr>
          <w:p w14:paraId="7948613E">
            <w:pPr>
              <w:tabs>
                <w:tab w:val="center" w:pos="4153"/>
                <w:tab w:val="right" w:pos="8306"/>
              </w:tabs>
              <w:snapToGrid w:val="0"/>
              <w:rPr>
                <w:rFonts w:ascii="宋体" w:hAnsi="宋体"/>
                <w:szCs w:val="21"/>
              </w:rPr>
            </w:pPr>
          </w:p>
        </w:tc>
        <w:tc>
          <w:tcPr>
            <w:tcW w:w="2182" w:type="dxa"/>
            <w:vAlign w:val="center"/>
          </w:tcPr>
          <w:p w14:paraId="32CEE362">
            <w:pPr>
              <w:tabs>
                <w:tab w:val="center" w:pos="4153"/>
                <w:tab w:val="right" w:pos="8306"/>
              </w:tabs>
              <w:snapToGrid w:val="0"/>
              <w:jc w:val="center"/>
              <w:rPr>
                <w:rFonts w:ascii="宋体" w:hAnsi="宋体"/>
                <w:szCs w:val="21"/>
              </w:rPr>
            </w:pPr>
          </w:p>
        </w:tc>
      </w:tr>
    </w:tbl>
    <w:p w14:paraId="2AF00026">
      <w:pPr>
        <w:spacing w:line="360" w:lineRule="auto"/>
        <w:ind w:firstLine="480" w:firstLineChars="200"/>
        <w:rPr>
          <w:rFonts w:ascii="仿宋" w:hAnsi="仿宋" w:eastAsia="仿宋"/>
          <w:sz w:val="24"/>
          <w:szCs w:val="24"/>
        </w:rPr>
      </w:pPr>
      <w:r>
        <w:rPr>
          <w:rFonts w:hint="eastAsia" w:ascii="仿宋" w:hAnsi="仿宋" w:eastAsia="仿宋"/>
          <w:sz w:val="24"/>
          <w:szCs w:val="24"/>
        </w:rPr>
        <w:t>注：请根据评审标准提供相应证明材料。</w:t>
      </w:r>
    </w:p>
    <w:p w14:paraId="4C245E88"/>
    <w:p w14:paraId="7AC17533">
      <w:pPr>
        <w:spacing w:line="360" w:lineRule="auto"/>
        <w:ind w:firstLine="480"/>
        <w:rPr>
          <w:rFonts w:ascii="宋体" w:hAnsi="宋体"/>
          <w:sz w:val="24"/>
        </w:rPr>
      </w:pPr>
      <w:r>
        <w:rPr>
          <w:rFonts w:hint="eastAsia" w:ascii="宋体" w:hAnsi="宋体"/>
          <w:sz w:val="24"/>
          <w:lang w:eastAsia="zh-CN"/>
        </w:rPr>
        <w:t>响应供应商</w:t>
      </w:r>
      <w:r>
        <w:rPr>
          <w:rFonts w:hint="eastAsia" w:ascii="宋体" w:hAnsi="宋体"/>
          <w:sz w:val="24"/>
        </w:rPr>
        <w:t>全称（盖公章）：</w:t>
      </w:r>
    </w:p>
    <w:p w14:paraId="56526586">
      <w:pPr>
        <w:spacing w:line="360" w:lineRule="auto"/>
        <w:ind w:firstLine="480"/>
        <w:rPr>
          <w:rFonts w:ascii="宋体" w:hAnsi="宋体"/>
          <w:sz w:val="24"/>
        </w:rPr>
      </w:pPr>
      <w:r>
        <w:rPr>
          <w:rFonts w:hint="eastAsia" w:ascii="宋体" w:hAnsi="宋体"/>
          <w:sz w:val="24"/>
        </w:rPr>
        <w:t>法定代表人或授权代表（签名或盖章）：</w:t>
      </w:r>
    </w:p>
    <w:p w14:paraId="49049315">
      <w:pPr>
        <w:spacing w:line="360" w:lineRule="auto"/>
        <w:ind w:firstLine="480"/>
        <w:rPr>
          <w:rFonts w:ascii="宋体" w:hAnsi="宋体"/>
          <w:sz w:val="24"/>
        </w:rPr>
      </w:pPr>
      <w:r>
        <w:rPr>
          <w:rFonts w:hint="eastAsia" w:ascii="宋体" w:hAnsi="宋体"/>
          <w:sz w:val="24"/>
        </w:rPr>
        <w:t>日    期：     年   月   日</w:t>
      </w:r>
    </w:p>
    <w:p w14:paraId="61686EE3"/>
    <w:bookmarkEnd w:id="914"/>
    <w:p w14:paraId="685DC2EC">
      <w:pPr>
        <w:spacing w:line="360" w:lineRule="auto"/>
        <w:outlineLvl w:val="1"/>
        <w:rPr>
          <w:rFonts w:ascii="宋体" w:hAnsi="宋体" w:cs="Tahoma"/>
          <w:b/>
          <w:sz w:val="24"/>
        </w:rPr>
      </w:pPr>
      <w:bookmarkStart w:id="919" w:name="_Toc14921"/>
      <w:bookmarkStart w:id="920" w:name="_Toc16995"/>
      <w:bookmarkStart w:id="921" w:name="_Toc90148949"/>
      <w:bookmarkStart w:id="922" w:name="_Toc91288878"/>
      <w:bookmarkStart w:id="923" w:name="_Toc464036500"/>
      <w:bookmarkStart w:id="924" w:name="_Toc385510956"/>
      <w:bookmarkStart w:id="925" w:name="_Toc482255113"/>
      <w:r>
        <w:rPr>
          <w:rFonts w:ascii="宋体" w:hAnsi="宋体" w:cs="Tahoma"/>
          <w:b/>
          <w:sz w:val="24"/>
        </w:rPr>
        <w:t>附件</w:t>
      </w:r>
      <w:r>
        <w:rPr>
          <w:rFonts w:hint="eastAsia" w:ascii="宋体" w:hAnsi="宋体" w:cs="Tahoma"/>
          <w:b/>
          <w:sz w:val="24"/>
        </w:rPr>
        <w:t>1</w:t>
      </w:r>
      <w:r>
        <w:rPr>
          <w:rFonts w:hint="eastAsia" w:ascii="宋体" w:hAnsi="宋体" w:cs="Tahoma"/>
          <w:b/>
          <w:sz w:val="24"/>
          <w:lang w:val="en-US" w:eastAsia="zh-CN"/>
        </w:rPr>
        <w:t>2</w:t>
      </w:r>
      <w:r>
        <w:rPr>
          <w:rFonts w:hint="eastAsia" w:ascii="宋体" w:hAnsi="宋体" w:cs="Tahoma"/>
          <w:b/>
          <w:sz w:val="24"/>
        </w:rPr>
        <w:t xml:space="preserve"> 其他评审要求资料</w:t>
      </w:r>
      <w:bookmarkEnd w:id="919"/>
      <w:bookmarkEnd w:id="920"/>
      <w:bookmarkEnd w:id="921"/>
      <w:bookmarkEnd w:id="922"/>
    </w:p>
    <w:p w14:paraId="5792F085">
      <w:pPr>
        <w:pStyle w:val="5"/>
      </w:pPr>
    </w:p>
    <w:p w14:paraId="71C6EB5C">
      <w:pPr>
        <w:spacing w:line="360" w:lineRule="auto"/>
        <w:ind w:firstLine="480" w:firstLineChars="200"/>
        <w:rPr>
          <w:rFonts w:ascii="仿宋" w:hAnsi="仿宋" w:eastAsia="仿宋"/>
          <w:sz w:val="24"/>
          <w:szCs w:val="24"/>
        </w:rPr>
      </w:pPr>
      <w:r>
        <w:rPr>
          <w:rFonts w:hint="eastAsia" w:ascii="仿宋" w:hAnsi="仿宋" w:eastAsia="仿宋"/>
          <w:sz w:val="24"/>
          <w:szCs w:val="24"/>
        </w:rPr>
        <w:t>注：</w:t>
      </w:r>
      <w:r>
        <w:rPr>
          <w:rFonts w:hint="eastAsia" w:ascii="仿宋" w:hAnsi="仿宋" w:eastAsia="仿宋"/>
          <w:sz w:val="24"/>
          <w:szCs w:val="24"/>
          <w:lang w:eastAsia="zh-CN"/>
        </w:rPr>
        <w:t>响应供应商</w:t>
      </w:r>
      <w:r>
        <w:rPr>
          <w:rFonts w:hint="eastAsia" w:ascii="仿宋" w:hAnsi="仿宋" w:eastAsia="仿宋"/>
          <w:sz w:val="24"/>
          <w:szCs w:val="24"/>
        </w:rPr>
        <w:t>根据技术评审表和商务评审表内容提供评审所需资料，格式自拟。</w:t>
      </w:r>
    </w:p>
    <w:p w14:paraId="7547EC91">
      <w:pPr>
        <w:pStyle w:val="5"/>
      </w:pPr>
    </w:p>
    <w:bookmarkEnd w:id="923"/>
    <w:bookmarkEnd w:id="924"/>
    <w:bookmarkEnd w:id="925"/>
    <w:p w14:paraId="1999E666">
      <w:pPr>
        <w:widowControl/>
        <w:jc w:val="left"/>
        <w:rPr>
          <w:rFonts w:ascii="宋体" w:hAnsi="宋体" w:cs="Tahoma"/>
          <w:b/>
          <w:sz w:val="24"/>
        </w:rPr>
      </w:pPr>
      <w:bookmarkStart w:id="926" w:name="_Toc373408883"/>
      <w:bookmarkStart w:id="927" w:name="_Toc413770316"/>
      <w:bookmarkStart w:id="928" w:name="_Toc90148950"/>
      <w:bookmarkStart w:id="929" w:name="_Toc482255116"/>
      <w:bookmarkStart w:id="930" w:name="_Toc462678697"/>
      <w:bookmarkStart w:id="931" w:name="_Toc381281297"/>
      <w:bookmarkStart w:id="932" w:name="_Toc91288879"/>
      <w:r>
        <w:rPr>
          <w:rFonts w:ascii="宋体" w:hAnsi="宋体" w:cs="Tahoma"/>
          <w:b/>
          <w:sz w:val="24"/>
        </w:rPr>
        <w:br w:type="page"/>
      </w:r>
    </w:p>
    <w:p w14:paraId="788E0A1D">
      <w:pPr>
        <w:spacing w:line="360" w:lineRule="auto"/>
        <w:outlineLvl w:val="1"/>
        <w:rPr>
          <w:rFonts w:ascii="宋体" w:hAnsi="宋体" w:cs="Tahoma"/>
          <w:b/>
          <w:sz w:val="24"/>
        </w:rPr>
      </w:pPr>
      <w:bookmarkStart w:id="933" w:name="_Toc9646"/>
      <w:bookmarkStart w:id="934" w:name="_Toc684"/>
      <w:r>
        <w:rPr>
          <w:rFonts w:hint="eastAsia" w:ascii="宋体" w:hAnsi="宋体" w:cs="Tahoma"/>
          <w:b/>
          <w:sz w:val="24"/>
        </w:rPr>
        <w:t>附件</w:t>
      </w:r>
      <w:bookmarkEnd w:id="926"/>
      <w:bookmarkEnd w:id="927"/>
      <w:bookmarkEnd w:id="928"/>
      <w:bookmarkEnd w:id="929"/>
      <w:bookmarkEnd w:id="930"/>
      <w:bookmarkEnd w:id="931"/>
      <w:r>
        <w:rPr>
          <w:rFonts w:hint="eastAsia" w:ascii="宋体" w:hAnsi="宋体" w:cs="Tahoma"/>
          <w:b/>
          <w:sz w:val="24"/>
        </w:rPr>
        <w:t>1</w:t>
      </w:r>
      <w:r>
        <w:rPr>
          <w:rFonts w:hint="eastAsia" w:ascii="宋体" w:hAnsi="宋体" w:cs="Tahoma"/>
          <w:b/>
          <w:sz w:val="24"/>
          <w:lang w:val="en-US" w:eastAsia="zh-CN"/>
        </w:rPr>
        <w:t>3</w:t>
      </w:r>
      <w:r>
        <w:rPr>
          <w:rFonts w:hint="eastAsia" w:ascii="宋体" w:hAnsi="宋体" w:cs="Tahoma"/>
          <w:b/>
          <w:sz w:val="24"/>
        </w:rPr>
        <w:t xml:space="preserve"> 报价一览表</w:t>
      </w:r>
      <w:bookmarkEnd w:id="932"/>
      <w:bookmarkEnd w:id="933"/>
      <w:bookmarkEnd w:id="934"/>
    </w:p>
    <w:p w14:paraId="280859BF">
      <w:pPr>
        <w:spacing w:line="360" w:lineRule="auto"/>
        <w:rPr>
          <w:rFonts w:ascii="宋体" w:hAnsi="宋体" w:cs="宋体"/>
          <w:sz w:val="24"/>
        </w:rPr>
      </w:pPr>
      <w:r>
        <w:rPr>
          <w:rFonts w:hint="eastAsia" w:ascii="宋体" w:hAnsi="宋体"/>
          <w:sz w:val="24"/>
        </w:rPr>
        <w:t>项目名称：</w:t>
      </w:r>
      <w:r>
        <w:rPr>
          <w:rFonts w:hint="eastAsia" w:ascii="宋体" w:hAnsi="宋体" w:cs="宋体"/>
          <w:sz w:val="24"/>
          <w:lang w:eastAsia="zh-CN"/>
        </w:rPr>
        <w:t>广东省粤东技师学院海天数智化综合实训基地改造工程</w:t>
      </w:r>
      <w:r>
        <w:rPr>
          <w:rFonts w:hint="eastAsia" w:ascii="宋体" w:hAnsi="宋体" w:cs="宋体"/>
          <w:sz w:val="24"/>
        </w:rPr>
        <w:t xml:space="preserve">   </w:t>
      </w:r>
    </w:p>
    <w:p w14:paraId="59C8315A">
      <w:pPr>
        <w:spacing w:line="360" w:lineRule="auto"/>
        <w:rPr>
          <w:rFonts w:hint="eastAsia" w:ascii="宋体" w:hAnsi="宋体" w:eastAsia="宋体"/>
          <w:sz w:val="24"/>
          <w:lang w:eastAsia="zh-CN"/>
        </w:rPr>
      </w:pPr>
      <w:r>
        <w:rPr>
          <w:rFonts w:hint="eastAsia" w:ascii="宋体" w:hAnsi="宋体"/>
          <w:sz w:val="24"/>
        </w:rPr>
        <w:t>项目编号：</w:t>
      </w:r>
      <w:r>
        <w:rPr>
          <w:rFonts w:hint="eastAsia" w:ascii="宋体" w:cs="Tahoma"/>
          <w:bCs/>
          <w:sz w:val="24"/>
          <w:lang w:eastAsia="zh-CN"/>
        </w:rPr>
        <w:t>YL202411248</w:t>
      </w:r>
    </w:p>
    <w:tbl>
      <w:tblPr>
        <w:tblStyle w:val="50"/>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0"/>
        <w:gridCol w:w="4320"/>
        <w:gridCol w:w="3312"/>
      </w:tblGrid>
      <w:tr w14:paraId="2ACDC0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1169" w:type="pct"/>
            <w:vAlign w:val="center"/>
          </w:tcPr>
          <w:p w14:paraId="1FBDF20B">
            <w:pPr>
              <w:jc w:val="center"/>
              <w:rPr>
                <w:rFonts w:ascii="宋体" w:hAnsi="宋体"/>
                <w:b/>
                <w:sz w:val="24"/>
                <w:szCs w:val="24"/>
              </w:rPr>
            </w:pPr>
            <w:r>
              <w:rPr>
                <w:rFonts w:hint="eastAsia" w:ascii="宋体" w:hAnsi="宋体"/>
                <w:b/>
                <w:sz w:val="24"/>
                <w:szCs w:val="24"/>
                <w:lang w:eastAsia="zh-CN"/>
              </w:rPr>
              <w:t>响应供应商</w:t>
            </w:r>
            <w:r>
              <w:rPr>
                <w:rFonts w:hint="eastAsia" w:ascii="宋体" w:hAnsi="宋体"/>
                <w:b/>
                <w:sz w:val="24"/>
                <w:szCs w:val="24"/>
              </w:rPr>
              <w:t>名称</w:t>
            </w:r>
          </w:p>
        </w:tc>
        <w:tc>
          <w:tcPr>
            <w:tcW w:w="2168" w:type="pct"/>
            <w:vAlign w:val="center"/>
          </w:tcPr>
          <w:p w14:paraId="665C3DD8">
            <w:pPr>
              <w:jc w:val="center"/>
              <w:rPr>
                <w:rFonts w:ascii="宋体" w:hAnsi="宋体"/>
                <w:b/>
                <w:sz w:val="24"/>
                <w:szCs w:val="24"/>
              </w:rPr>
            </w:pPr>
            <w:r>
              <w:rPr>
                <w:rFonts w:hint="eastAsia" w:ascii="宋体" w:hAnsi="宋体"/>
                <w:b/>
                <w:sz w:val="24"/>
                <w:szCs w:val="24"/>
                <w:lang w:eastAsia="zh-CN"/>
              </w:rPr>
              <w:t>响应</w:t>
            </w:r>
            <w:r>
              <w:rPr>
                <w:rFonts w:hint="eastAsia" w:ascii="宋体" w:hAnsi="宋体"/>
                <w:b/>
                <w:sz w:val="24"/>
                <w:szCs w:val="24"/>
                <w:lang w:val="en-US" w:eastAsia="zh-CN"/>
              </w:rPr>
              <w:t>报价</w:t>
            </w:r>
            <w:r>
              <w:rPr>
                <w:rFonts w:hint="eastAsia" w:ascii="宋体" w:hAnsi="宋体"/>
                <w:b/>
                <w:sz w:val="24"/>
                <w:szCs w:val="24"/>
              </w:rPr>
              <w:t>（</w:t>
            </w:r>
            <w:r>
              <w:rPr>
                <w:rFonts w:hint="eastAsia" w:ascii="宋体" w:hAnsi="宋体"/>
                <w:b/>
                <w:sz w:val="24"/>
                <w:szCs w:val="24"/>
                <w:lang w:val="en-US" w:eastAsia="zh-CN"/>
              </w:rPr>
              <w:t>元</w:t>
            </w:r>
            <w:r>
              <w:rPr>
                <w:rFonts w:hint="eastAsia" w:ascii="宋体" w:hAnsi="宋体"/>
                <w:b/>
                <w:sz w:val="24"/>
                <w:szCs w:val="24"/>
              </w:rPr>
              <w:t>）</w:t>
            </w:r>
          </w:p>
        </w:tc>
        <w:tc>
          <w:tcPr>
            <w:tcW w:w="1662" w:type="pct"/>
            <w:vAlign w:val="center"/>
          </w:tcPr>
          <w:p w14:paraId="05AF0F8A">
            <w:pPr>
              <w:jc w:val="center"/>
              <w:rPr>
                <w:rFonts w:hint="eastAsia" w:ascii="宋体" w:hAnsi="宋体" w:eastAsia="宋体"/>
                <w:b/>
                <w:sz w:val="24"/>
                <w:szCs w:val="24"/>
                <w:lang w:eastAsia="zh-CN"/>
              </w:rPr>
            </w:pPr>
            <w:r>
              <w:rPr>
                <w:rFonts w:hint="eastAsia" w:ascii="宋体" w:hAnsi="宋体"/>
                <w:b/>
                <w:sz w:val="24"/>
                <w:szCs w:val="24"/>
                <w:lang w:eastAsia="zh-CN"/>
              </w:rPr>
              <w:t>工期</w:t>
            </w:r>
          </w:p>
        </w:tc>
      </w:tr>
      <w:tr w14:paraId="441BCC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1169" w:type="pct"/>
            <w:vAlign w:val="center"/>
          </w:tcPr>
          <w:p w14:paraId="24AFB489">
            <w:pPr>
              <w:widowControl/>
              <w:spacing w:line="360" w:lineRule="auto"/>
              <w:jc w:val="center"/>
              <w:rPr>
                <w:rFonts w:ascii="仿宋" w:hAnsi="仿宋" w:eastAsia="仿宋"/>
                <w:bCs/>
                <w:sz w:val="28"/>
                <w:szCs w:val="28"/>
              </w:rPr>
            </w:pPr>
          </w:p>
        </w:tc>
        <w:tc>
          <w:tcPr>
            <w:tcW w:w="2168" w:type="pct"/>
            <w:vAlign w:val="center"/>
          </w:tcPr>
          <w:p w14:paraId="6EFEA3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
                <w:sz w:val="24"/>
                <w:szCs w:val="24"/>
              </w:rPr>
            </w:pPr>
            <w:r>
              <w:rPr>
                <w:rFonts w:hint="eastAsia" w:asciiTheme="minorEastAsia" w:hAnsiTheme="minorEastAsia" w:eastAsiaTheme="minorEastAsia" w:cstheme="minorEastAsia"/>
                <w:color w:val="000000"/>
                <w:sz w:val="24"/>
                <w:szCs w:val="28"/>
                <w:shd w:val="clear" w:color="auto" w:fill="FFFFFF"/>
              </w:rPr>
              <w:t>¥</w:t>
            </w:r>
            <w:r>
              <w:rPr>
                <w:rFonts w:hint="eastAsia" w:asciiTheme="minorEastAsia" w:hAnsiTheme="minorEastAsia" w:eastAsiaTheme="minorEastAsia" w:cstheme="minorEastAsia"/>
                <w:bCs/>
                <w:sz w:val="24"/>
                <w:u w:val="single"/>
                <w:lang w:val="en-US" w:eastAsia="zh-CN"/>
              </w:rPr>
              <w:t xml:space="preserve">         </w:t>
            </w:r>
            <w:r>
              <w:rPr>
                <w:rFonts w:hint="eastAsia" w:asciiTheme="minorEastAsia" w:hAnsiTheme="minorEastAsia" w:eastAsiaTheme="minorEastAsia" w:cstheme="minorEastAsia"/>
                <w:color w:val="000000"/>
                <w:sz w:val="24"/>
                <w:szCs w:val="28"/>
                <w:shd w:val="clear" w:color="auto" w:fill="FFFFFF"/>
              </w:rPr>
              <w:t>元</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color w:val="auto"/>
                <w:sz w:val="24"/>
                <w:szCs w:val="24"/>
                <w:highlight w:val="none"/>
                <w:lang w:val="en-US" w:eastAsia="zh-CN"/>
              </w:rPr>
              <w:t>其中绿色施工安全防护措施费¥85,444.98元，暂列金额</w:t>
            </w: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¥118,969.80元</w:t>
            </w: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作为不可竞争费</w:t>
            </w:r>
            <w:r>
              <w:rPr>
                <w:rFonts w:hint="eastAsia" w:asciiTheme="minorEastAsia" w:hAnsiTheme="minorEastAsia" w:eastAsiaTheme="minorEastAsia" w:cstheme="minorEastAsia"/>
                <w:bCs/>
                <w:color w:val="auto"/>
                <w:sz w:val="24"/>
                <w:szCs w:val="24"/>
                <w:lang w:val="en-US" w:eastAsia="zh-CN"/>
              </w:rPr>
              <w:t>用</w:t>
            </w:r>
            <w:r>
              <w:rPr>
                <w:rFonts w:hint="eastAsia" w:asciiTheme="minorEastAsia" w:hAnsiTheme="minorEastAsia" w:eastAsiaTheme="minorEastAsia" w:cstheme="minorEastAsia"/>
                <w:bCs/>
                <w:color w:val="auto"/>
                <w:sz w:val="24"/>
              </w:rPr>
              <w:t>。）</w:t>
            </w:r>
          </w:p>
        </w:tc>
        <w:tc>
          <w:tcPr>
            <w:tcW w:w="1662" w:type="pct"/>
            <w:vAlign w:val="center"/>
          </w:tcPr>
          <w:p w14:paraId="557FA543">
            <w:pPr>
              <w:pStyle w:val="22"/>
              <w:snapToGrid w:val="0"/>
              <w:spacing w:line="360" w:lineRule="auto"/>
              <w:ind w:right="25" w:rightChars="12" w:firstLine="0" w:firstLineChars="0"/>
              <w:jc w:val="center"/>
              <w:rPr>
                <w:rFonts w:ascii="宋体" w:eastAsia="宋体" w:cs="Tahoma"/>
                <w:sz w:val="24"/>
              </w:rPr>
            </w:pPr>
            <w:r>
              <w:rPr>
                <w:rFonts w:hint="eastAsia" w:asciiTheme="minorEastAsia" w:hAnsiTheme="minorEastAsia" w:eastAsiaTheme="minorEastAsia" w:cstheme="minorEastAsia"/>
                <w:color w:val="auto"/>
                <w:kern w:val="28"/>
                <w:sz w:val="24"/>
                <w:szCs w:val="24"/>
              </w:rPr>
              <w:t>开工</w:t>
            </w:r>
            <w:r>
              <w:rPr>
                <w:rFonts w:hint="eastAsia" w:asciiTheme="minorEastAsia" w:hAnsiTheme="minorEastAsia" w:eastAsiaTheme="minorEastAsia" w:cstheme="minorEastAsia"/>
                <w:color w:val="auto"/>
                <w:kern w:val="28"/>
                <w:sz w:val="24"/>
                <w:szCs w:val="24"/>
                <w:lang w:eastAsia="zh-CN"/>
              </w:rPr>
              <w:t>令发出</w:t>
            </w:r>
            <w:r>
              <w:rPr>
                <w:rFonts w:hint="eastAsia" w:asciiTheme="minorEastAsia" w:hAnsiTheme="minorEastAsia" w:eastAsiaTheme="minorEastAsia" w:cstheme="minorEastAsia"/>
                <w:color w:val="auto"/>
                <w:kern w:val="28"/>
                <w:sz w:val="24"/>
                <w:szCs w:val="24"/>
              </w:rPr>
              <w:t>之</w:t>
            </w:r>
            <w:r>
              <w:rPr>
                <w:rFonts w:hint="eastAsia" w:asciiTheme="minorEastAsia" w:hAnsiTheme="minorEastAsia" w:eastAsiaTheme="minorEastAsia" w:cstheme="minorEastAsia"/>
                <w:color w:val="auto"/>
                <w:kern w:val="28"/>
                <w:sz w:val="24"/>
                <w:szCs w:val="24"/>
                <w:highlight w:val="none"/>
              </w:rPr>
              <w:t>日起</w:t>
            </w:r>
            <w:r>
              <w:rPr>
                <w:rFonts w:hint="eastAsia" w:asciiTheme="minorEastAsia" w:hAnsiTheme="minorEastAsia" w:eastAsiaTheme="minorEastAsia" w:cstheme="minorEastAsia"/>
                <w:color w:val="auto"/>
                <w:kern w:val="28"/>
                <w:sz w:val="24"/>
                <w:szCs w:val="24"/>
                <w:highlight w:val="none"/>
                <w:u w:val="single"/>
                <w:lang w:val="en-US" w:eastAsia="zh-CN"/>
              </w:rPr>
              <w:t xml:space="preserve">     </w:t>
            </w:r>
            <w:r>
              <w:rPr>
                <w:rFonts w:hint="eastAsia" w:asciiTheme="minorEastAsia" w:hAnsiTheme="minorEastAsia" w:eastAsiaTheme="minorEastAsia" w:cstheme="minorEastAsia"/>
                <w:color w:val="auto"/>
                <w:kern w:val="28"/>
                <w:sz w:val="24"/>
                <w:szCs w:val="24"/>
                <w:highlight w:val="none"/>
              </w:rPr>
              <w:t>天内完</w:t>
            </w:r>
            <w:r>
              <w:rPr>
                <w:rFonts w:hint="eastAsia" w:asciiTheme="minorEastAsia" w:hAnsiTheme="minorEastAsia" w:eastAsiaTheme="minorEastAsia" w:cstheme="minorEastAsia"/>
                <w:color w:val="auto"/>
                <w:kern w:val="28"/>
                <w:sz w:val="24"/>
                <w:szCs w:val="24"/>
              </w:rPr>
              <w:t>工</w:t>
            </w:r>
            <w:r>
              <w:rPr>
                <w:rFonts w:hint="eastAsia" w:asciiTheme="minorEastAsia" w:hAnsiTheme="minorEastAsia" w:eastAsiaTheme="minorEastAsia" w:cstheme="minorEastAsia"/>
                <w:color w:val="auto"/>
                <w:kern w:val="28"/>
                <w:sz w:val="24"/>
                <w:szCs w:val="24"/>
                <w:lang w:eastAsia="zh-CN"/>
              </w:rPr>
              <w:t>（</w:t>
            </w:r>
            <w:r>
              <w:rPr>
                <w:rFonts w:hint="eastAsia" w:asciiTheme="minorEastAsia" w:hAnsiTheme="minorEastAsia" w:eastAsiaTheme="minorEastAsia" w:cstheme="minorEastAsia"/>
                <w:color w:val="auto"/>
                <w:kern w:val="28"/>
                <w:sz w:val="24"/>
                <w:szCs w:val="24"/>
              </w:rPr>
              <w:t>具体开工时间以开工</w:t>
            </w:r>
            <w:r>
              <w:rPr>
                <w:rFonts w:hint="eastAsia" w:asciiTheme="minorEastAsia" w:hAnsiTheme="minorEastAsia" w:eastAsiaTheme="minorEastAsia" w:cstheme="minorEastAsia"/>
                <w:color w:val="auto"/>
                <w:kern w:val="28"/>
                <w:sz w:val="24"/>
                <w:szCs w:val="24"/>
                <w:lang w:eastAsia="zh-CN"/>
              </w:rPr>
              <w:t>令</w:t>
            </w:r>
            <w:r>
              <w:rPr>
                <w:rFonts w:hint="eastAsia" w:asciiTheme="minorEastAsia" w:hAnsiTheme="minorEastAsia" w:eastAsiaTheme="minorEastAsia" w:cstheme="minorEastAsia"/>
                <w:color w:val="auto"/>
                <w:kern w:val="28"/>
                <w:sz w:val="24"/>
                <w:szCs w:val="24"/>
              </w:rPr>
              <w:t>为准</w:t>
            </w:r>
            <w:r>
              <w:rPr>
                <w:rFonts w:hint="eastAsia" w:asciiTheme="minorEastAsia" w:hAnsiTheme="minorEastAsia" w:eastAsiaTheme="minorEastAsia" w:cstheme="minorEastAsia"/>
                <w:color w:val="auto"/>
                <w:kern w:val="28"/>
                <w:sz w:val="24"/>
                <w:szCs w:val="24"/>
                <w:lang w:eastAsia="zh-CN"/>
              </w:rPr>
              <w:t>）。</w:t>
            </w:r>
          </w:p>
        </w:tc>
      </w:tr>
    </w:tbl>
    <w:p w14:paraId="1B3B4AA3"/>
    <w:p w14:paraId="2DB5712F">
      <w:pPr>
        <w:spacing w:line="360" w:lineRule="auto"/>
        <w:ind w:firstLine="480"/>
        <w:rPr>
          <w:rFonts w:ascii="宋体" w:hAnsi="宋体"/>
          <w:sz w:val="24"/>
        </w:rPr>
      </w:pPr>
      <w:r>
        <w:rPr>
          <w:rFonts w:hint="eastAsia" w:ascii="宋体" w:hAnsi="宋体"/>
          <w:sz w:val="24"/>
          <w:lang w:eastAsia="zh-CN"/>
        </w:rPr>
        <w:t>响应供应商</w:t>
      </w:r>
      <w:r>
        <w:rPr>
          <w:rFonts w:hint="eastAsia" w:ascii="宋体" w:hAnsi="宋体"/>
          <w:sz w:val="24"/>
        </w:rPr>
        <w:t>全称（盖公章）：</w:t>
      </w:r>
    </w:p>
    <w:p w14:paraId="18AEBEA8">
      <w:pPr>
        <w:spacing w:line="360" w:lineRule="auto"/>
        <w:ind w:firstLine="480"/>
        <w:rPr>
          <w:rFonts w:ascii="宋体" w:hAnsi="宋体"/>
          <w:sz w:val="24"/>
        </w:rPr>
      </w:pPr>
      <w:r>
        <w:rPr>
          <w:rFonts w:hint="eastAsia" w:ascii="宋体" w:hAnsi="宋体"/>
          <w:sz w:val="24"/>
        </w:rPr>
        <w:t>法定代表人或授权代表（签名或盖章）：</w:t>
      </w:r>
    </w:p>
    <w:p w14:paraId="6A9F91C0">
      <w:pPr>
        <w:spacing w:line="360" w:lineRule="auto"/>
        <w:ind w:firstLine="480"/>
        <w:rPr>
          <w:rFonts w:ascii="宋体" w:hAnsi="宋体"/>
          <w:sz w:val="24"/>
        </w:rPr>
      </w:pPr>
      <w:r>
        <w:rPr>
          <w:rFonts w:hint="eastAsia" w:ascii="宋体" w:hAnsi="宋体"/>
          <w:sz w:val="24"/>
        </w:rPr>
        <w:t>日    期：     年   月   日</w:t>
      </w:r>
    </w:p>
    <w:p w14:paraId="30D49129"/>
    <w:p w14:paraId="6A3D4B5D">
      <w:pPr>
        <w:spacing w:line="360" w:lineRule="auto"/>
        <w:ind w:firstLine="480" w:firstLineChars="200"/>
        <w:rPr>
          <w:rFonts w:ascii="仿宋" w:hAnsi="仿宋" w:eastAsia="仿宋"/>
          <w:sz w:val="24"/>
          <w:szCs w:val="24"/>
        </w:rPr>
      </w:pPr>
      <w:r>
        <w:rPr>
          <w:rFonts w:hint="eastAsia" w:ascii="仿宋" w:hAnsi="仿宋" w:eastAsia="仿宋"/>
          <w:sz w:val="24"/>
          <w:szCs w:val="24"/>
        </w:rPr>
        <w:t>注：</w:t>
      </w:r>
    </w:p>
    <w:p w14:paraId="0AB8D571">
      <w:pPr>
        <w:spacing w:line="360" w:lineRule="auto"/>
        <w:ind w:firstLine="480" w:firstLineChars="200"/>
        <w:rPr>
          <w:rFonts w:ascii="仿宋" w:hAnsi="仿宋" w:eastAsia="仿宋"/>
          <w:sz w:val="24"/>
          <w:szCs w:val="24"/>
        </w:rPr>
      </w:pPr>
      <w:r>
        <w:rPr>
          <w:rFonts w:hint="eastAsia" w:ascii="仿宋" w:hAnsi="仿宋" w:eastAsia="仿宋"/>
          <w:sz w:val="24"/>
          <w:szCs w:val="24"/>
        </w:rPr>
        <w:t>1.此表一式两份，一份装在单独的“</w:t>
      </w:r>
      <w:r>
        <w:rPr>
          <w:rFonts w:hint="eastAsia" w:ascii="仿宋" w:hAnsi="仿宋" w:eastAsia="仿宋"/>
          <w:sz w:val="24"/>
          <w:szCs w:val="24"/>
          <w:lang w:eastAsia="zh-CN"/>
        </w:rPr>
        <w:t>报价</w:t>
      </w:r>
      <w:r>
        <w:rPr>
          <w:rFonts w:hint="eastAsia" w:ascii="仿宋" w:hAnsi="仿宋" w:eastAsia="仿宋"/>
          <w:sz w:val="24"/>
          <w:szCs w:val="24"/>
        </w:rPr>
        <w:t>信封”内密封，封口盖公章；另一份装订在</w:t>
      </w:r>
      <w:r>
        <w:rPr>
          <w:rFonts w:hint="eastAsia" w:ascii="仿宋" w:hAnsi="仿宋" w:eastAsia="仿宋"/>
          <w:sz w:val="24"/>
          <w:szCs w:val="24"/>
          <w:lang w:eastAsia="zh-CN"/>
        </w:rPr>
        <w:t>响应文件</w:t>
      </w:r>
      <w:r>
        <w:rPr>
          <w:rFonts w:hint="eastAsia" w:ascii="仿宋" w:hAnsi="仿宋" w:eastAsia="仿宋"/>
          <w:sz w:val="24"/>
          <w:szCs w:val="24"/>
        </w:rPr>
        <w:t>中。</w:t>
      </w:r>
    </w:p>
    <w:p w14:paraId="48019BCE">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.上述日期均以日历日为单位，包括法定节假日。</w:t>
      </w:r>
    </w:p>
    <w:p w14:paraId="3E0DA437">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.对含糊不清或不确定的报价将视为无效报价。</w:t>
      </w:r>
    </w:p>
    <w:p w14:paraId="344A7FBA"/>
    <w:p w14:paraId="5933D0B3"/>
    <w:p w14:paraId="4EF3583C"/>
    <w:p w14:paraId="629D31B5">
      <w:pPr>
        <w:keepNext w:val="0"/>
        <w:keepLines w:val="0"/>
        <w:pageBreakBefore w:val="0"/>
        <w:widowControl w:val="0"/>
        <w:kinsoku/>
        <w:wordWrap/>
        <w:overflowPunct/>
        <w:topLinePunct w:val="0"/>
        <w:autoSpaceDE/>
        <w:autoSpaceDN/>
        <w:bidi w:val="0"/>
        <w:adjustRightInd/>
        <w:snapToGrid/>
        <w:spacing w:line="360" w:lineRule="auto"/>
        <w:ind w:firstLine="0"/>
        <w:textAlignment w:val="auto"/>
        <w:outlineLvl w:val="1"/>
        <w:rPr>
          <w:rFonts w:hint="eastAsia" w:ascii="宋体" w:hAnsi="宋体" w:cs="Tahoma"/>
          <w:b/>
          <w:sz w:val="24"/>
        </w:rPr>
      </w:pPr>
      <w:bookmarkStart w:id="935" w:name="_Toc11469"/>
      <w:bookmarkStart w:id="936" w:name="_Toc462678708"/>
      <w:bookmarkStart w:id="937" w:name="_Toc482255117"/>
      <w:bookmarkStart w:id="938" w:name="_Toc113260561"/>
      <w:bookmarkStart w:id="939" w:name="_Toc27247"/>
      <w:bookmarkStart w:id="940" w:name="_Toc91288880"/>
      <w:bookmarkStart w:id="941" w:name="_Toc90148951"/>
      <w:bookmarkStart w:id="942" w:name="_Toc497767449"/>
      <w:r>
        <w:rPr>
          <w:rFonts w:hint="eastAsia" w:ascii="宋体" w:hAnsi="宋体" w:cs="Tahoma"/>
          <w:b/>
          <w:sz w:val="24"/>
        </w:rPr>
        <w:t>附件1</w:t>
      </w:r>
      <w:r>
        <w:rPr>
          <w:rFonts w:hint="eastAsia" w:ascii="宋体" w:hAnsi="宋体" w:cs="Tahoma"/>
          <w:b/>
          <w:sz w:val="24"/>
          <w:lang w:val="en-US" w:eastAsia="zh-CN"/>
        </w:rPr>
        <w:t>4</w:t>
      </w:r>
      <w:r>
        <w:rPr>
          <w:rFonts w:hint="eastAsia" w:ascii="宋体" w:hAnsi="宋体" w:cs="Tahoma"/>
          <w:b/>
          <w:sz w:val="24"/>
        </w:rPr>
        <w:t xml:space="preserve"> 详细报价</w:t>
      </w:r>
      <w:bookmarkEnd w:id="935"/>
      <w:bookmarkEnd w:id="936"/>
      <w:bookmarkEnd w:id="937"/>
      <w:bookmarkEnd w:id="938"/>
      <w:bookmarkEnd w:id="939"/>
      <w:bookmarkEnd w:id="940"/>
      <w:bookmarkEnd w:id="941"/>
      <w:bookmarkEnd w:id="942"/>
    </w:p>
    <w:p w14:paraId="201F89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rPr>
      </w:pPr>
      <w:r>
        <w:rPr>
          <w:rFonts w:hint="eastAsia" w:ascii="仿宋" w:hAnsi="仿宋" w:eastAsia="仿宋"/>
          <w:sz w:val="24"/>
          <w:szCs w:val="24"/>
        </w:rPr>
        <w:t>1.响应报价为所投项目的执行响应价，包括响应供应商履行本项目合同（如果成交）所必须的所有成本费用和响应供应商应承担的一切税费。如果响应供应商在成交并签署合同后，在项目实施过程中出现任何遗漏，均视为由成交供应商免费提供，采购人将不再支付任何费用。</w:t>
      </w:r>
    </w:p>
    <w:p w14:paraId="7B84E4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ascii="仿宋" w:hAnsi="仿宋" w:eastAsia="仿宋" w:cs="Arial"/>
          <w:sz w:val="24"/>
          <w:szCs w:val="24"/>
        </w:rPr>
        <w:t>2.请响应供应商进行详细的报价分析（格式自定）。</w:t>
      </w:r>
    </w:p>
    <w:p w14:paraId="60E7D4F8"/>
    <w:p w14:paraId="1E470015"/>
    <w:p w14:paraId="64769E1D">
      <w:pPr>
        <w:pStyle w:val="42"/>
        <w:spacing w:line="360" w:lineRule="auto"/>
        <w:ind w:left="2" w:leftChars="1" w:firstLine="472" w:firstLineChars="196"/>
        <w:jc w:val="center"/>
        <w:rPr>
          <w:rFonts w:ascii="宋体" w:hAnsi="宋体" w:eastAsia="宋体"/>
          <w:b/>
          <w:bCs/>
          <w:sz w:val="24"/>
          <w:szCs w:val="24"/>
        </w:rPr>
      </w:pPr>
    </w:p>
    <w:sectPr>
      <w:headerReference r:id="rId7" w:type="default"/>
      <w:footerReference r:id="rId8" w:type="default"/>
      <w:pgSz w:w="11906" w:h="16838"/>
      <w:pgMar w:top="1440" w:right="1080" w:bottom="1440" w:left="1080" w:header="709" w:footer="848"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文鼎CS书宋二">
    <w:altName w:val="宋体"/>
    <w:panose1 w:val="00000000000000000000"/>
    <w:charset w:val="86"/>
    <w:family w:val="modern"/>
    <w:pitch w:val="default"/>
    <w:sig w:usb0="00000000" w:usb1="00000000" w:usb2="00000010" w:usb3="00000000" w:csb0="00040000" w:csb1="00000000"/>
  </w:font>
  <w:font w:name="Garamond">
    <w:altName w:val="RomanS"/>
    <w:panose1 w:val="02020404030301010803"/>
    <w:charset w:val="00"/>
    <w:family w:val="roman"/>
    <w:pitch w:val="default"/>
    <w:sig w:usb0="00000000" w:usb1="00000000" w:usb2="00000000" w:usb3="00000000" w:csb0="0000009F" w:csb1="DFD70000"/>
  </w:font>
  <w:font w:name="(使用中文字体)">
    <w:altName w:val="宋体"/>
    <w:panose1 w:val="00000000000000000000"/>
    <w:charset w:val="86"/>
    <w:family w:val="roman"/>
    <w:pitch w:val="default"/>
    <w:sig w:usb0="00000000" w:usb1="00000000" w:usb2="00000000" w:usb3="00000000" w:csb0="00040001" w:csb1="00000000"/>
  </w:font>
  <w:font w:name="微软雅黑">
    <w:panose1 w:val="020B0503020204020204"/>
    <w:charset w:val="86"/>
    <w:family w:val="swiss"/>
    <w:pitch w:val="default"/>
    <w:sig w:usb0="80000287" w:usb1="28CF3C50" w:usb2="00000016" w:usb3="00000000" w:csb0="0004001F" w:csb1="00000000"/>
  </w:font>
  <w:font w:name="time of new roman">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56C05">
    <w:r>
      <w:rPr>
        <w:rFonts w:hint="eastAsia"/>
      </w:rPr>
      <w:t xml:space="preserve">                            </w:t>
    </w:r>
    <w:r>
      <w:rPr>
        <w:rFonts w:hint="eastAsia" w:cs="宋体"/>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36470">
    <w:r>
      <w:rPr>
        <w:rFonts w:hint="eastAsia"/>
      </w:rPr>
      <w:t xml:space="preserve">                            </w:t>
    </w:r>
    <w:r>
      <w:rPr>
        <w:rFonts w:hint="eastAsia" w:cs="宋体"/>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87F30">
    <w:pPr>
      <w:pStyle w:val="30"/>
      <w:pBdr>
        <w:top w:val="thinThickSmallGap" w:color="622423" w:themeColor="accent2" w:themeShade="7F" w:sz="24" w:space="1"/>
      </w:pBdr>
      <w:jc w:val="center"/>
      <w:rPr>
        <w:rFonts w:ascii="宋体" w:hAnsi="宋体" w:cstheme="majorBidi"/>
        <w:sz w:val="22"/>
      </w:rPr>
    </w:pPr>
    <w:r>
      <w:rPr>
        <w:rFonts w:ascii="宋体" w:hAnsi="宋体" w:cstheme="minorBidi"/>
        <w:sz w:val="22"/>
      </w:rPr>
      <w:fldChar w:fldCharType="begin"/>
    </w:r>
    <w:r>
      <w:rPr>
        <w:rFonts w:ascii="宋体" w:hAnsi="宋体"/>
        <w:sz w:val="22"/>
      </w:rPr>
      <w:instrText xml:space="preserve">PAGE   \* MERGEFORMAT</w:instrText>
    </w:r>
    <w:r>
      <w:rPr>
        <w:rFonts w:ascii="宋体" w:hAnsi="宋体" w:cstheme="minorBidi"/>
        <w:sz w:val="22"/>
      </w:rPr>
      <w:fldChar w:fldCharType="separate"/>
    </w:r>
    <w:r>
      <w:rPr>
        <w:rFonts w:ascii="宋体" w:hAnsi="宋体" w:cstheme="majorBidi"/>
        <w:sz w:val="22"/>
        <w:lang w:val="zh-CN"/>
      </w:rPr>
      <w:t>17</w:t>
    </w:r>
    <w:r>
      <w:rPr>
        <w:rFonts w:ascii="宋体" w:hAnsi="宋体" w:cstheme="majorBidi"/>
        <w:sz w:val="2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6D287">
    <w:pPr>
      <w:jc w:val="right"/>
      <w:rPr>
        <w:color w:val="A6A6A6" w:themeColor="background1" w:themeShade="A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C39B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788B9">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pStyle w:val="178"/>
      <w:lvlText w:val="%1."/>
      <w:lvlJc w:val="left"/>
      <w:pPr>
        <w:ind w:left="420" w:hanging="420"/>
      </w:pPr>
    </w:lvl>
    <w:lvl w:ilvl="1" w:tentative="0">
      <w:start w:val="1"/>
      <w:numFmt w:val="decimal"/>
      <w:lvlText w:val="（%2）"/>
      <w:lvlJc w:val="left"/>
      <w:pPr>
        <w:ind w:left="1365" w:hanging="94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29"/>
    <w:multiLevelType w:val="multilevel"/>
    <w:tmpl w:val="00000029"/>
    <w:lvl w:ilvl="0" w:tentative="0">
      <w:start w:val="1"/>
      <w:numFmt w:val="decimal"/>
      <w:lvlText w:val="%1."/>
      <w:lvlJc w:val="left"/>
      <w:pPr>
        <w:tabs>
          <w:tab w:val="left" w:pos="846"/>
        </w:tabs>
        <w:ind w:left="846" w:hanging="420"/>
      </w:pPr>
      <w:rPr>
        <w:rFonts w:hint="eastAsia"/>
      </w:rPr>
    </w:lvl>
    <w:lvl w:ilvl="1" w:tentative="0">
      <w:start w:val="1"/>
      <w:numFmt w:val="lowerLetter"/>
      <w:lvlText w:val="%2)"/>
      <w:lvlJc w:val="left"/>
      <w:pPr>
        <w:tabs>
          <w:tab w:val="left" w:pos="-152"/>
        </w:tabs>
        <w:ind w:left="-152" w:hanging="420"/>
      </w:pPr>
    </w:lvl>
    <w:lvl w:ilvl="2" w:tentative="0">
      <w:start w:val="1"/>
      <w:numFmt w:val="lowerRoman"/>
      <w:lvlText w:val="%3."/>
      <w:lvlJc w:val="right"/>
      <w:pPr>
        <w:tabs>
          <w:tab w:val="left" w:pos="268"/>
        </w:tabs>
        <w:ind w:left="268" w:hanging="420"/>
      </w:pPr>
    </w:lvl>
    <w:lvl w:ilvl="3" w:tentative="0">
      <w:start w:val="1"/>
      <w:numFmt w:val="decimal"/>
      <w:lvlText w:val="%4."/>
      <w:lvlJc w:val="left"/>
      <w:pPr>
        <w:tabs>
          <w:tab w:val="left" w:pos="688"/>
        </w:tabs>
        <w:ind w:left="688" w:hanging="420"/>
      </w:pPr>
    </w:lvl>
    <w:lvl w:ilvl="4" w:tentative="0">
      <w:start w:val="1"/>
      <w:numFmt w:val="lowerLetter"/>
      <w:lvlText w:val="%5)"/>
      <w:lvlJc w:val="left"/>
      <w:pPr>
        <w:tabs>
          <w:tab w:val="left" w:pos="1108"/>
        </w:tabs>
        <w:ind w:left="1108" w:hanging="420"/>
      </w:pPr>
    </w:lvl>
    <w:lvl w:ilvl="5" w:tentative="0">
      <w:start w:val="1"/>
      <w:numFmt w:val="lowerRoman"/>
      <w:lvlText w:val="%6."/>
      <w:lvlJc w:val="right"/>
      <w:pPr>
        <w:tabs>
          <w:tab w:val="left" w:pos="1528"/>
        </w:tabs>
        <w:ind w:left="1528" w:hanging="420"/>
      </w:pPr>
    </w:lvl>
    <w:lvl w:ilvl="6" w:tentative="0">
      <w:start w:val="1"/>
      <w:numFmt w:val="decimal"/>
      <w:lvlText w:val="%7."/>
      <w:lvlJc w:val="left"/>
      <w:pPr>
        <w:tabs>
          <w:tab w:val="left" w:pos="1948"/>
        </w:tabs>
        <w:ind w:left="1948" w:hanging="420"/>
      </w:pPr>
    </w:lvl>
    <w:lvl w:ilvl="7" w:tentative="0">
      <w:start w:val="1"/>
      <w:numFmt w:val="lowerLetter"/>
      <w:lvlText w:val="%8)"/>
      <w:lvlJc w:val="left"/>
      <w:pPr>
        <w:tabs>
          <w:tab w:val="left" w:pos="2368"/>
        </w:tabs>
        <w:ind w:left="2368" w:hanging="420"/>
      </w:pPr>
    </w:lvl>
    <w:lvl w:ilvl="8" w:tentative="0">
      <w:start w:val="1"/>
      <w:numFmt w:val="lowerRoman"/>
      <w:lvlText w:val="%9."/>
      <w:lvlJc w:val="right"/>
      <w:pPr>
        <w:tabs>
          <w:tab w:val="left" w:pos="2788"/>
        </w:tabs>
        <w:ind w:left="2788" w:hanging="420"/>
      </w:pPr>
    </w:lvl>
  </w:abstractNum>
  <w:abstractNum w:abstractNumId="2">
    <w:nsid w:val="400C500D"/>
    <w:multiLevelType w:val="multilevel"/>
    <w:tmpl w:val="400C500D"/>
    <w:lvl w:ilvl="0" w:tentative="0">
      <w:start w:val="1"/>
      <w:numFmt w:val="decimal"/>
      <w:suff w:val="nothing"/>
      <w:lvlText w:val="%1"/>
      <w:lvlJc w:val="left"/>
      <w:pPr>
        <w:ind w:left="420" w:hanging="420"/>
      </w:pPr>
      <w:rPr>
        <w:rFonts w:hint="eastAsia"/>
        <w:color w:val="auto"/>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57DA1D3F"/>
    <w:multiLevelType w:val="multilevel"/>
    <w:tmpl w:val="57DA1D3F"/>
    <w:lvl w:ilvl="0" w:tentative="0">
      <w:start w:val="1"/>
      <w:numFmt w:val="chineseCountingThousand"/>
      <w:suff w:val="nothing"/>
      <w:lvlText w:val="%1、"/>
      <w:lvlJc w:val="left"/>
      <w:pPr>
        <w:ind w:left="704" w:hanging="420"/>
      </w:pPr>
      <w:rPr>
        <w:rFonts w:hint="eastAsia"/>
        <w:lang w:val="en-US"/>
      </w:rPr>
    </w:lvl>
    <w:lvl w:ilvl="1" w:tentative="0">
      <w:start w:val="1"/>
      <w:numFmt w:val="chineseCountingThousand"/>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4">
    <w:nsid w:val="5C562134"/>
    <w:multiLevelType w:val="multilevel"/>
    <w:tmpl w:val="5C562134"/>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iZWRjYzkzYThhMTY2YzkyMGIzZmQ2NDU1ZTM2OTUifQ=="/>
  </w:docVars>
  <w:rsids>
    <w:rsidRoot w:val="00172A27"/>
    <w:rsid w:val="00000042"/>
    <w:rsid w:val="00001730"/>
    <w:rsid w:val="000020AE"/>
    <w:rsid w:val="00002239"/>
    <w:rsid w:val="00002381"/>
    <w:rsid w:val="00002818"/>
    <w:rsid w:val="00002FEB"/>
    <w:rsid w:val="00003038"/>
    <w:rsid w:val="0000349C"/>
    <w:rsid w:val="00003549"/>
    <w:rsid w:val="00004074"/>
    <w:rsid w:val="00005354"/>
    <w:rsid w:val="00005443"/>
    <w:rsid w:val="00006CEE"/>
    <w:rsid w:val="00006D5A"/>
    <w:rsid w:val="000072F1"/>
    <w:rsid w:val="00007369"/>
    <w:rsid w:val="00007459"/>
    <w:rsid w:val="000078E6"/>
    <w:rsid w:val="00007CF7"/>
    <w:rsid w:val="0001013D"/>
    <w:rsid w:val="00010602"/>
    <w:rsid w:val="00010697"/>
    <w:rsid w:val="00010BB3"/>
    <w:rsid w:val="000113CD"/>
    <w:rsid w:val="000119F7"/>
    <w:rsid w:val="00011E50"/>
    <w:rsid w:val="00011FAD"/>
    <w:rsid w:val="000126CA"/>
    <w:rsid w:val="0001295E"/>
    <w:rsid w:val="00012A65"/>
    <w:rsid w:val="00012D33"/>
    <w:rsid w:val="00012D59"/>
    <w:rsid w:val="00012E8B"/>
    <w:rsid w:val="00013676"/>
    <w:rsid w:val="000136D3"/>
    <w:rsid w:val="0001391C"/>
    <w:rsid w:val="000169AD"/>
    <w:rsid w:val="00016B93"/>
    <w:rsid w:val="00017645"/>
    <w:rsid w:val="00020144"/>
    <w:rsid w:val="00020E1B"/>
    <w:rsid w:val="0002119A"/>
    <w:rsid w:val="000212E3"/>
    <w:rsid w:val="00021BA3"/>
    <w:rsid w:val="00021DF8"/>
    <w:rsid w:val="0002290A"/>
    <w:rsid w:val="00022FCF"/>
    <w:rsid w:val="00023A80"/>
    <w:rsid w:val="00023CD1"/>
    <w:rsid w:val="00024D15"/>
    <w:rsid w:val="00025E77"/>
    <w:rsid w:val="00026294"/>
    <w:rsid w:val="00026559"/>
    <w:rsid w:val="00026B79"/>
    <w:rsid w:val="000274FF"/>
    <w:rsid w:val="00027B6F"/>
    <w:rsid w:val="00027CDE"/>
    <w:rsid w:val="00027E6F"/>
    <w:rsid w:val="0003004B"/>
    <w:rsid w:val="00030086"/>
    <w:rsid w:val="00030290"/>
    <w:rsid w:val="00030508"/>
    <w:rsid w:val="0003062B"/>
    <w:rsid w:val="00030951"/>
    <w:rsid w:val="000314B9"/>
    <w:rsid w:val="00033367"/>
    <w:rsid w:val="000338E8"/>
    <w:rsid w:val="00035257"/>
    <w:rsid w:val="00035480"/>
    <w:rsid w:val="00035563"/>
    <w:rsid w:val="00036470"/>
    <w:rsid w:val="00037888"/>
    <w:rsid w:val="00040869"/>
    <w:rsid w:val="000409D4"/>
    <w:rsid w:val="00040D34"/>
    <w:rsid w:val="00041AD5"/>
    <w:rsid w:val="00041FB7"/>
    <w:rsid w:val="00042392"/>
    <w:rsid w:val="00042471"/>
    <w:rsid w:val="0004396E"/>
    <w:rsid w:val="00043B73"/>
    <w:rsid w:val="00043B9F"/>
    <w:rsid w:val="00043BA4"/>
    <w:rsid w:val="00043BCE"/>
    <w:rsid w:val="000441F9"/>
    <w:rsid w:val="00044A82"/>
    <w:rsid w:val="00044ED2"/>
    <w:rsid w:val="000453D3"/>
    <w:rsid w:val="0004588A"/>
    <w:rsid w:val="000459FF"/>
    <w:rsid w:val="00045CDB"/>
    <w:rsid w:val="00045F50"/>
    <w:rsid w:val="000479CC"/>
    <w:rsid w:val="00050122"/>
    <w:rsid w:val="00050723"/>
    <w:rsid w:val="00050D69"/>
    <w:rsid w:val="00050EBB"/>
    <w:rsid w:val="000519E3"/>
    <w:rsid w:val="00051D1F"/>
    <w:rsid w:val="00052096"/>
    <w:rsid w:val="00052745"/>
    <w:rsid w:val="000538AB"/>
    <w:rsid w:val="00053F09"/>
    <w:rsid w:val="00054B31"/>
    <w:rsid w:val="00054CA7"/>
    <w:rsid w:val="00054F67"/>
    <w:rsid w:val="000552D5"/>
    <w:rsid w:val="00055D26"/>
    <w:rsid w:val="000564A0"/>
    <w:rsid w:val="00056B65"/>
    <w:rsid w:val="0006039A"/>
    <w:rsid w:val="0006061E"/>
    <w:rsid w:val="00062E67"/>
    <w:rsid w:val="00063969"/>
    <w:rsid w:val="00063C26"/>
    <w:rsid w:val="00063DE0"/>
    <w:rsid w:val="000648AF"/>
    <w:rsid w:val="00064F13"/>
    <w:rsid w:val="000654DA"/>
    <w:rsid w:val="00066196"/>
    <w:rsid w:val="00066D7E"/>
    <w:rsid w:val="00067D12"/>
    <w:rsid w:val="000706C6"/>
    <w:rsid w:val="000714B0"/>
    <w:rsid w:val="00071716"/>
    <w:rsid w:val="00071772"/>
    <w:rsid w:val="00071DDD"/>
    <w:rsid w:val="00073452"/>
    <w:rsid w:val="000735BB"/>
    <w:rsid w:val="00073CDF"/>
    <w:rsid w:val="00074459"/>
    <w:rsid w:val="00074BB2"/>
    <w:rsid w:val="00074C02"/>
    <w:rsid w:val="00074C6D"/>
    <w:rsid w:val="000757A3"/>
    <w:rsid w:val="0007687E"/>
    <w:rsid w:val="0008001A"/>
    <w:rsid w:val="000807FF"/>
    <w:rsid w:val="00080C54"/>
    <w:rsid w:val="00080FBC"/>
    <w:rsid w:val="0008157B"/>
    <w:rsid w:val="000816B2"/>
    <w:rsid w:val="0008265E"/>
    <w:rsid w:val="0008317C"/>
    <w:rsid w:val="00083250"/>
    <w:rsid w:val="00083C5D"/>
    <w:rsid w:val="00084F8E"/>
    <w:rsid w:val="0008507D"/>
    <w:rsid w:val="00085D9B"/>
    <w:rsid w:val="00085E61"/>
    <w:rsid w:val="00086003"/>
    <w:rsid w:val="00086E7F"/>
    <w:rsid w:val="00086FC4"/>
    <w:rsid w:val="00087389"/>
    <w:rsid w:val="000875A2"/>
    <w:rsid w:val="00087EFF"/>
    <w:rsid w:val="000904D9"/>
    <w:rsid w:val="0009060A"/>
    <w:rsid w:val="00090C1D"/>
    <w:rsid w:val="0009143D"/>
    <w:rsid w:val="000918DA"/>
    <w:rsid w:val="000922A6"/>
    <w:rsid w:val="00092E15"/>
    <w:rsid w:val="00092EC0"/>
    <w:rsid w:val="000934EA"/>
    <w:rsid w:val="00094615"/>
    <w:rsid w:val="00094D72"/>
    <w:rsid w:val="00095A91"/>
    <w:rsid w:val="00095C08"/>
    <w:rsid w:val="00095D3D"/>
    <w:rsid w:val="00095EC8"/>
    <w:rsid w:val="0009644B"/>
    <w:rsid w:val="00096991"/>
    <w:rsid w:val="00097721"/>
    <w:rsid w:val="00097B01"/>
    <w:rsid w:val="000A07E6"/>
    <w:rsid w:val="000A0835"/>
    <w:rsid w:val="000A11F0"/>
    <w:rsid w:val="000A184B"/>
    <w:rsid w:val="000A1955"/>
    <w:rsid w:val="000A19D5"/>
    <w:rsid w:val="000A2E09"/>
    <w:rsid w:val="000A2FF3"/>
    <w:rsid w:val="000A3306"/>
    <w:rsid w:val="000A4F0A"/>
    <w:rsid w:val="000A500C"/>
    <w:rsid w:val="000A5283"/>
    <w:rsid w:val="000A5546"/>
    <w:rsid w:val="000A5B93"/>
    <w:rsid w:val="000A6292"/>
    <w:rsid w:val="000A7457"/>
    <w:rsid w:val="000B005A"/>
    <w:rsid w:val="000B00A3"/>
    <w:rsid w:val="000B00C4"/>
    <w:rsid w:val="000B017C"/>
    <w:rsid w:val="000B0C4C"/>
    <w:rsid w:val="000B1E1F"/>
    <w:rsid w:val="000B1F8F"/>
    <w:rsid w:val="000B2660"/>
    <w:rsid w:val="000B2F95"/>
    <w:rsid w:val="000B385C"/>
    <w:rsid w:val="000B38B4"/>
    <w:rsid w:val="000B3D9E"/>
    <w:rsid w:val="000B4306"/>
    <w:rsid w:val="000B44C9"/>
    <w:rsid w:val="000B52E1"/>
    <w:rsid w:val="000B5511"/>
    <w:rsid w:val="000B56D1"/>
    <w:rsid w:val="000B61FB"/>
    <w:rsid w:val="000B6609"/>
    <w:rsid w:val="000B687C"/>
    <w:rsid w:val="000B6F37"/>
    <w:rsid w:val="000B6F7E"/>
    <w:rsid w:val="000B7486"/>
    <w:rsid w:val="000B7C0E"/>
    <w:rsid w:val="000C0067"/>
    <w:rsid w:val="000C02CF"/>
    <w:rsid w:val="000C0558"/>
    <w:rsid w:val="000C0E40"/>
    <w:rsid w:val="000C14B2"/>
    <w:rsid w:val="000C1997"/>
    <w:rsid w:val="000C318F"/>
    <w:rsid w:val="000C366F"/>
    <w:rsid w:val="000C42AB"/>
    <w:rsid w:val="000C4459"/>
    <w:rsid w:val="000C460F"/>
    <w:rsid w:val="000C4883"/>
    <w:rsid w:val="000C4D4F"/>
    <w:rsid w:val="000C548A"/>
    <w:rsid w:val="000C61A5"/>
    <w:rsid w:val="000C638A"/>
    <w:rsid w:val="000C6C38"/>
    <w:rsid w:val="000C731D"/>
    <w:rsid w:val="000C7916"/>
    <w:rsid w:val="000C7C16"/>
    <w:rsid w:val="000D02CD"/>
    <w:rsid w:val="000D094B"/>
    <w:rsid w:val="000D1120"/>
    <w:rsid w:val="000D21D4"/>
    <w:rsid w:val="000D2365"/>
    <w:rsid w:val="000D2BA5"/>
    <w:rsid w:val="000D354B"/>
    <w:rsid w:val="000D3D44"/>
    <w:rsid w:val="000D402F"/>
    <w:rsid w:val="000D591B"/>
    <w:rsid w:val="000D5A1E"/>
    <w:rsid w:val="000D5E1A"/>
    <w:rsid w:val="000D6F6D"/>
    <w:rsid w:val="000D7826"/>
    <w:rsid w:val="000E0575"/>
    <w:rsid w:val="000E117E"/>
    <w:rsid w:val="000E13D2"/>
    <w:rsid w:val="000E1635"/>
    <w:rsid w:val="000E2682"/>
    <w:rsid w:val="000E33AA"/>
    <w:rsid w:val="000E35F4"/>
    <w:rsid w:val="000E4ADA"/>
    <w:rsid w:val="000E4B74"/>
    <w:rsid w:val="000E5B62"/>
    <w:rsid w:val="000E5EFE"/>
    <w:rsid w:val="000E7615"/>
    <w:rsid w:val="000E785C"/>
    <w:rsid w:val="000F00F2"/>
    <w:rsid w:val="000F1090"/>
    <w:rsid w:val="000F18F7"/>
    <w:rsid w:val="000F1F42"/>
    <w:rsid w:val="000F29EB"/>
    <w:rsid w:val="000F32D3"/>
    <w:rsid w:val="000F3711"/>
    <w:rsid w:val="000F3EFC"/>
    <w:rsid w:val="000F455B"/>
    <w:rsid w:val="000F47CB"/>
    <w:rsid w:val="000F50FC"/>
    <w:rsid w:val="000F51E3"/>
    <w:rsid w:val="000F6412"/>
    <w:rsid w:val="000F6458"/>
    <w:rsid w:val="000F6AD6"/>
    <w:rsid w:val="000F7363"/>
    <w:rsid w:val="000F7428"/>
    <w:rsid w:val="000F7CE6"/>
    <w:rsid w:val="0010043E"/>
    <w:rsid w:val="00100CAF"/>
    <w:rsid w:val="00101EC1"/>
    <w:rsid w:val="00102638"/>
    <w:rsid w:val="00102AC6"/>
    <w:rsid w:val="00103877"/>
    <w:rsid w:val="00104886"/>
    <w:rsid w:val="00104CC1"/>
    <w:rsid w:val="001060A9"/>
    <w:rsid w:val="0010630A"/>
    <w:rsid w:val="00107308"/>
    <w:rsid w:val="0011162C"/>
    <w:rsid w:val="00111AFA"/>
    <w:rsid w:val="001126AC"/>
    <w:rsid w:val="00112AFC"/>
    <w:rsid w:val="00112FA5"/>
    <w:rsid w:val="00113A1F"/>
    <w:rsid w:val="00113B09"/>
    <w:rsid w:val="00113CBB"/>
    <w:rsid w:val="001144AD"/>
    <w:rsid w:val="0011458A"/>
    <w:rsid w:val="001149A3"/>
    <w:rsid w:val="00114E53"/>
    <w:rsid w:val="00115186"/>
    <w:rsid w:val="00115832"/>
    <w:rsid w:val="00115CCE"/>
    <w:rsid w:val="0011640B"/>
    <w:rsid w:val="00116691"/>
    <w:rsid w:val="001167F4"/>
    <w:rsid w:val="00116CF2"/>
    <w:rsid w:val="00116DA5"/>
    <w:rsid w:val="001172EB"/>
    <w:rsid w:val="00117352"/>
    <w:rsid w:val="00117E4A"/>
    <w:rsid w:val="00120129"/>
    <w:rsid w:val="00121215"/>
    <w:rsid w:val="00121BCD"/>
    <w:rsid w:val="00122106"/>
    <w:rsid w:val="0012289F"/>
    <w:rsid w:val="00122CDE"/>
    <w:rsid w:val="0012338D"/>
    <w:rsid w:val="0012385F"/>
    <w:rsid w:val="001246CA"/>
    <w:rsid w:val="00124C4B"/>
    <w:rsid w:val="00124D2A"/>
    <w:rsid w:val="00124E34"/>
    <w:rsid w:val="001251AE"/>
    <w:rsid w:val="0012535C"/>
    <w:rsid w:val="0012543D"/>
    <w:rsid w:val="00125461"/>
    <w:rsid w:val="00125ACE"/>
    <w:rsid w:val="001260BD"/>
    <w:rsid w:val="0012683B"/>
    <w:rsid w:val="00126888"/>
    <w:rsid w:val="0013096B"/>
    <w:rsid w:val="00132597"/>
    <w:rsid w:val="00133409"/>
    <w:rsid w:val="001342A6"/>
    <w:rsid w:val="001347CA"/>
    <w:rsid w:val="0013498B"/>
    <w:rsid w:val="00134DAD"/>
    <w:rsid w:val="00135648"/>
    <w:rsid w:val="00135B12"/>
    <w:rsid w:val="00136E63"/>
    <w:rsid w:val="00136F2E"/>
    <w:rsid w:val="00137DB1"/>
    <w:rsid w:val="0014055A"/>
    <w:rsid w:val="00140E43"/>
    <w:rsid w:val="00141552"/>
    <w:rsid w:val="001415CD"/>
    <w:rsid w:val="0014168B"/>
    <w:rsid w:val="00141914"/>
    <w:rsid w:val="00142B37"/>
    <w:rsid w:val="001437A1"/>
    <w:rsid w:val="00143B55"/>
    <w:rsid w:val="00143CC4"/>
    <w:rsid w:val="001441D5"/>
    <w:rsid w:val="00144801"/>
    <w:rsid w:val="00144F11"/>
    <w:rsid w:val="00146455"/>
    <w:rsid w:val="00146657"/>
    <w:rsid w:val="00146749"/>
    <w:rsid w:val="001470C6"/>
    <w:rsid w:val="00147919"/>
    <w:rsid w:val="00147AE3"/>
    <w:rsid w:val="00150236"/>
    <w:rsid w:val="00150C89"/>
    <w:rsid w:val="001511B3"/>
    <w:rsid w:val="001512E7"/>
    <w:rsid w:val="00151F94"/>
    <w:rsid w:val="00152242"/>
    <w:rsid w:val="0015265D"/>
    <w:rsid w:val="001527BC"/>
    <w:rsid w:val="001529C9"/>
    <w:rsid w:val="00152BB6"/>
    <w:rsid w:val="0015356F"/>
    <w:rsid w:val="00154281"/>
    <w:rsid w:val="00154934"/>
    <w:rsid w:val="00155964"/>
    <w:rsid w:val="00156301"/>
    <w:rsid w:val="001568F4"/>
    <w:rsid w:val="00156DC8"/>
    <w:rsid w:val="00157415"/>
    <w:rsid w:val="001578EB"/>
    <w:rsid w:val="001579DF"/>
    <w:rsid w:val="00157EFA"/>
    <w:rsid w:val="001600B9"/>
    <w:rsid w:val="0016024B"/>
    <w:rsid w:val="001603AB"/>
    <w:rsid w:val="00160B23"/>
    <w:rsid w:val="00160B86"/>
    <w:rsid w:val="0016147B"/>
    <w:rsid w:val="0016264A"/>
    <w:rsid w:val="001629F4"/>
    <w:rsid w:val="00163299"/>
    <w:rsid w:val="001635A5"/>
    <w:rsid w:val="001647C5"/>
    <w:rsid w:val="00165428"/>
    <w:rsid w:val="001659BF"/>
    <w:rsid w:val="00165E5B"/>
    <w:rsid w:val="001668C9"/>
    <w:rsid w:val="00167132"/>
    <w:rsid w:val="00170DB2"/>
    <w:rsid w:val="001724D8"/>
    <w:rsid w:val="00172A27"/>
    <w:rsid w:val="00172C1B"/>
    <w:rsid w:val="00172F25"/>
    <w:rsid w:val="00173609"/>
    <w:rsid w:val="00173AD7"/>
    <w:rsid w:val="00173E50"/>
    <w:rsid w:val="001747B2"/>
    <w:rsid w:val="001747E3"/>
    <w:rsid w:val="00174A43"/>
    <w:rsid w:val="00174F0D"/>
    <w:rsid w:val="00175975"/>
    <w:rsid w:val="0017629B"/>
    <w:rsid w:val="00176387"/>
    <w:rsid w:val="001769C7"/>
    <w:rsid w:val="00177CF1"/>
    <w:rsid w:val="00177EB5"/>
    <w:rsid w:val="0018027A"/>
    <w:rsid w:val="001803B8"/>
    <w:rsid w:val="001806B6"/>
    <w:rsid w:val="00180960"/>
    <w:rsid w:val="00180B8E"/>
    <w:rsid w:val="00180F33"/>
    <w:rsid w:val="0018266D"/>
    <w:rsid w:val="0018278C"/>
    <w:rsid w:val="0018344D"/>
    <w:rsid w:val="00185454"/>
    <w:rsid w:val="001856C3"/>
    <w:rsid w:val="00185B87"/>
    <w:rsid w:val="00186591"/>
    <w:rsid w:val="001865BB"/>
    <w:rsid w:val="001869B7"/>
    <w:rsid w:val="001871A7"/>
    <w:rsid w:val="001876CA"/>
    <w:rsid w:val="001877F1"/>
    <w:rsid w:val="00187C99"/>
    <w:rsid w:val="0019112D"/>
    <w:rsid w:val="00191D0E"/>
    <w:rsid w:val="001922E3"/>
    <w:rsid w:val="0019363A"/>
    <w:rsid w:val="00193CD0"/>
    <w:rsid w:val="00193F02"/>
    <w:rsid w:val="001954F9"/>
    <w:rsid w:val="0019618B"/>
    <w:rsid w:val="001A02E4"/>
    <w:rsid w:val="001A1067"/>
    <w:rsid w:val="001A1DE1"/>
    <w:rsid w:val="001A234F"/>
    <w:rsid w:val="001A2BE5"/>
    <w:rsid w:val="001A4998"/>
    <w:rsid w:val="001A4C55"/>
    <w:rsid w:val="001A5254"/>
    <w:rsid w:val="001A723B"/>
    <w:rsid w:val="001A76AA"/>
    <w:rsid w:val="001A7BC4"/>
    <w:rsid w:val="001B02A1"/>
    <w:rsid w:val="001B0370"/>
    <w:rsid w:val="001B0385"/>
    <w:rsid w:val="001B06D5"/>
    <w:rsid w:val="001B2428"/>
    <w:rsid w:val="001B28E6"/>
    <w:rsid w:val="001B2B1F"/>
    <w:rsid w:val="001B333E"/>
    <w:rsid w:val="001B3F5A"/>
    <w:rsid w:val="001B5328"/>
    <w:rsid w:val="001B5557"/>
    <w:rsid w:val="001B5672"/>
    <w:rsid w:val="001B67AF"/>
    <w:rsid w:val="001B6BD1"/>
    <w:rsid w:val="001B730E"/>
    <w:rsid w:val="001B7696"/>
    <w:rsid w:val="001B78BB"/>
    <w:rsid w:val="001B7925"/>
    <w:rsid w:val="001B796C"/>
    <w:rsid w:val="001B7974"/>
    <w:rsid w:val="001B7A3C"/>
    <w:rsid w:val="001C01E7"/>
    <w:rsid w:val="001C0948"/>
    <w:rsid w:val="001C188D"/>
    <w:rsid w:val="001C1E01"/>
    <w:rsid w:val="001C1F69"/>
    <w:rsid w:val="001C2CC0"/>
    <w:rsid w:val="001C33FF"/>
    <w:rsid w:val="001C3633"/>
    <w:rsid w:val="001C3CA4"/>
    <w:rsid w:val="001C42B8"/>
    <w:rsid w:val="001C4B3A"/>
    <w:rsid w:val="001C532B"/>
    <w:rsid w:val="001C611D"/>
    <w:rsid w:val="001C71D0"/>
    <w:rsid w:val="001C7327"/>
    <w:rsid w:val="001C7355"/>
    <w:rsid w:val="001C7AAB"/>
    <w:rsid w:val="001C7EF3"/>
    <w:rsid w:val="001D138E"/>
    <w:rsid w:val="001D1C88"/>
    <w:rsid w:val="001D2029"/>
    <w:rsid w:val="001D22DB"/>
    <w:rsid w:val="001D2704"/>
    <w:rsid w:val="001D32EE"/>
    <w:rsid w:val="001D3419"/>
    <w:rsid w:val="001D3903"/>
    <w:rsid w:val="001D3B9F"/>
    <w:rsid w:val="001D403D"/>
    <w:rsid w:val="001D4B73"/>
    <w:rsid w:val="001D5304"/>
    <w:rsid w:val="001D5471"/>
    <w:rsid w:val="001D5863"/>
    <w:rsid w:val="001D5D65"/>
    <w:rsid w:val="001D6BE6"/>
    <w:rsid w:val="001D6DB9"/>
    <w:rsid w:val="001D713E"/>
    <w:rsid w:val="001D732F"/>
    <w:rsid w:val="001D7C56"/>
    <w:rsid w:val="001E0EC3"/>
    <w:rsid w:val="001E1806"/>
    <w:rsid w:val="001E1B1D"/>
    <w:rsid w:val="001E1EA0"/>
    <w:rsid w:val="001E29D6"/>
    <w:rsid w:val="001E30D0"/>
    <w:rsid w:val="001E33C2"/>
    <w:rsid w:val="001E3E6E"/>
    <w:rsid w:val="001E4621"/>
    <w:rsid w:val="001E4B2E"/>
    <w:rsid w:val="001E6A38"/>
    <w:rsid w:val="001E6F51"/>
    <w:rsid w:val="001E79AE"/>
    <w:rsid w:val="001E7A26"/>
    <w:rsid w:val="001E7DDC"/>
    <w:rsid w:val="001F1731"/>
    <w:rsid w:val="001F1DA1"/>
    <w:rsid w:val="001F32B3"/>
    <w:rsid w:val="001F5227"/>
    <w:rsid w:val="001F531C"/>
    <w:rsid w:val="001F56BE"/>
    <w:rsid w:val="001F59D7"/>
    <w:rsid w:val="001F5CD4"/>
    <w:rsid w:val="001F6B36"/>
    <w:rsid w:val="001F6EDA"/>
    <w:rsid w:val="001F7726"/>
    <w:rsid w:val="001F7B14"/>
    <w:rsid w:val="002012C4"/>
    <w:rsid w:val="00201EEB"/>
    <w:rsid w:val="00202E51"/>
    <w:rsid w:val="00203028"/>
    <w:rsid w:val="00203525"/>
    <w:rsid w:val="002036F4"/>
    <w:rsid w:val="00203735"/>
    <w:rsid w:val="00203DE5"/>
    <w:rsid w:val="0020436D"/>
    <w:rsid w:val="002045F2"/>
    <w:rsid w:val="00204BA7"/>
    <w:rsid w:val="002052B8"/>
    <w:rsid w:val="0020603B"/>
    <w:rsid w:val="002066AB"/>
    <w:rsid w:val="00207049"/>
    <w:rsid w:val="00207141"/>
    <w:rsid w:val="00207411"/>
    <w:rsid w:val="002103E2"/>
    <w:rsid w:val="002105D5"/>
    <w:rsid w:val="002106BC"/>
    <w:rsid w:val="00210CC8"/>
    <w:rsid w:val="002117BE"/>
    <w:rsid w:val="002126DF"/>
    <w:rsid w:val="0021311C"/>
    <w:rsid w:val="002133E8"/>
    <w:rsid w:val="00214320"/>
    <w:rsid w:val="0021454F"/>
    <w:rsid w:val="0021498C"/>
    <w:rsid w:val="00214A14"/>
    <w:rsid w:val="00214BE3"/>
    <w:rsid w:val="00214C88"/>
    <w:rsid w:val="00215217"/>
    <w:rsid w:val="00215752"/>
    <w:rsid w:val="00216B18"/>
    <w:rsid w:val="0022124A"/>
    <w:rsid w:val="0022142A"/>
    <w:rsid w:val="002216A0"/>
    <w:rsid w:val="00222919"/>
    <w:rsid w:val="00222CD6"/>
    <w:rsid w:val="00223A6E"/>
    <w:rsid w:val="00224603"/>
    <w:rsid w:val="00224790"/>
    <w:rsid w:val="002249F5"/>
    <w:rsid w:val="00224F81"/>
    <w:rsid w:val="002256FF"/>
    <w:rsid w:val="00226A0A"/>
    <w:rsid w:val="0022774F"/>
    <w:rsid w:val="0023062F"/>
    <w:rsid w:val="00230A7A"/>
    <w:rsid w:val="00230F93"/>
    <w:rsid w:val="00231584"/>
    <w:rsid w:val="00231A93"/>
    <w:rsid w:val="00234070"/>
    <w:rsid w:val="002349F2"/>
    <w:rsid w:val="00235959"/>
    <w:rsid w:val="00235B8C"/>
    <w:rsid w:val="00235F11"/>
    <w:rsid w:val="00236E5D"/>
    <w:rsid w:val="00236E5E"/>
    <w:rsid w:val="00237755"/>
    <w:rsid w:val="00237B34"/>
    <w:rsid w:val="002410B4"/>
    <w:rsid w:val="0024141D"/>
    <w:rsid w:val="00241479"/>
    <w:rsid w:val="002421BE"/>
    <w:rsid w:val="00242961"/>
    <w:rsid w:val="002433F9"/>
    <w:rsid w:val="00243D84"/>
    <w:rsid w:val="00243E0D"/>
    <w:rsid w:val="0024412F"/>
    <w:rsid w:val="00244B87"/>
    <w:rsid w:val="00244C31"/>
    <w:rsid w:val="00246185"/>
    <w:rsid w:val="002470F5"/>
    <w:rsid w:val="00247997"/>
    <w:rsid w:val="00247B50"/>
    <w:rsid w:val="00250114"/>
    <w:rsid w:val="00250284"/>
    <w:rsid w:val="00250335"/>
    <w:rsid w:val="00250F65"/>
    <w:rsid w:val="00251E9F"/>
    <w:rsid w:val="00251EC1"/>
    <w:rsid w:val="00252890"/>
    <w:rsid w:val="00252986"/>
    <w:rsid w:val="00252CA3"/>
    <w:rsid w:val="00253E26"/>
    <w:rsid w:val="00253E4B"/>
    <w:rsid w:val="002540E9"/>
    <w:rsid w:val="00254541"/>
    <w:rsid w:val="00254731"/>
    <w:rsid w:val="002552F8"/>
    <w:rsid w:val="00255635"/>
    <w:rsid w:val="00255CDB"/>
    <w:rsid w:val="00256481"/>
    <w:rsid w:val="00260980"/>
    <w:rsid w:val="00261494"/>
    <w:rsid w:val="00261B58"/>
    <w:rsid w:val="0026223D"/>
    <w:rsid w:val="0026227F"/>
    <w:rsid w:val="002627E7"/>
    <w:rsid w:val="00262E57"/>
    <w:rsid w:val="00263B5A"/>
    <w:rsid w:val="00264794"/>
    <w:rsid w:val="0026494B"/>
    <w:rsid w:val="00264AC5"/>
    <w:rsid w:val="00265E83"/>
    <w:rsid w:val="00266B6B"/>
    <w:rsid w:val="00266F32"/>
    <w:rsid w:val="002675FB"/>
    <w:rsid w:val="002676AE"/>
    <w:rsid w:val="00267762"/>
    <w:rsid w:val="002678CF"/>
    <w:rsid w:val="00267971"/>
    <w:rsid w:val="0026797D"/>
    <w:rsid w:val="002703A1"/>
    <w:rsid w:val="002712E6"/>
    <w:rsid w:val="00271471"/>
    <w:rsid w:val="002716BE"/>
    <w:rsid w:val="002717B3"/>
    <w:rsid w:val="0027332C"/>
    <w:rsid w:val="0027442A"/>
    <w:rsid w:val="00274A29"/>
    <w:rsid w:val="00274E7A"/>
    <w:rsid w:val="00275AC9"/>
    <w:rsid w:val="00275B6C"/>
    <w:rsid w:val="00276608"/>
    <w:rsid w:val="00276BFE"/>
    <w:rsid w:val="00276E20"/>
    <w:rsid w:val="00276E95"/>
    <w:rsid w:val="00280172"/>
    <w:rsid w:val="002810F3"/>
    <w:rsid w:val="00281B98"/>
    <w:rsid w:val="00281CA0"/>
    <w:rsid w:val="00282968"/>
    <w:rsid w:val="00282A8D"/>
    <w:rsid w:val="00282CD3"/>
    <w:rsid w:val="00282F2C"/>
    <w:rsid w:val="00283005"/>
    <w:rsid w:val="00283BC2"/>
    <w:rsid w:val="00283C7F"/>
    <w:rsid w:val="002844D1"/>
    <w:rsid w:val="002849E6"/>
    <w:rsid w:val="00284D3D"/>
    <w:rsid w:val="00285112"/>
    <w:rsid w:val="00285630"/>
    <w:rsid w:val="00286DA1"/>
    <w:rsid w:val="00287480"/>
    <w:rsid w:val="00287686"/>
    <w:rsid w:val="00287734"/>
    <w:rsid w:val="00287E2E"/>
    <w:rsid w:val="00287E5F"/>
    <w:rsid w:val="002915C2"/>
    <w:rsid w:val="0029196D"/>
    <w:rsid w:val="00291F35"/>
    <w:rsid w:val="0029208C"/>
    <w:rsid w:val="002922BE"/>
    <w:rsid w:val="002931B0"/>
    <w:rsid w:val="002933A0"/>
    <w:rsid w:val="0029369F"/>
    <w:rsid w:val="0029375E"/>
    <w:rsid w:val="00294F12"/>
    <w:rsid w:val="00295AA0"/>
    <w:rsid w:val="00296C23"/>
    <w:rsid w:val="00296DDF"/>
    <w:rsid w:val="00297321"/>
    <w:rsid w:val="0029735B"/>
    <w:rsid w:val="002A02AE"/>
    <w:rsid w:val="002A02CA"/>
    <w:rsid w:val="002A065E"/>
    <w:rsid w:val="002A090B"/>
    <w:rsid w:val="002A0C08"/>
    <w:rsid w:val="002A10E6"/>
    <w:rsid w:val="002A168E"/>
    <w:rsid w:val="002A2355"/>
    <w:rsid w:val="002A23E8"/>
    <w:rsid w:val="002A447B"/>
    <w:rsid w:val="002A4502"/>
    <w:rsid w:val="002A50F2"/>
    <w:rsid w:val="002A53D2"/>
    <w:rsid w:val="002A5ABD"/>
    <w:rsid w:val="002A5C24"/>
    <w:rsid w:val="002A639A"/>
    <w:rsid w:val="002A6927"/>
    <w:rsid w:val="002A6EB6"/>
    <w:rsid w:val="002B0CB5"/>
    <w:rsid w:val="002B1D95"/>
    <w:rsid w:val="002B1FD1"/>
    <w:rsid w:val="002B2155"/>
    <w:rsid w:val="002B2E0C"/>
    <w:rsid w:val="002B30EE"/>
    <w:rsid w:val="002B3309"/>
    <w:rsid w:val="002B3B8D"/>
    <w:rsid w:val="002B4633"/>
    <w:rsid w:val="002B4C2B"/>
    <w:rsid w:val="002B4FBD"/>
    <w:rsid w:val="002B5650"/>
    <w:rsid w:val="002B62A5"/>
    <w:rsid w:val="002B650C"/>
    <w:rsid w:val="002B6DF1"/>
    <w:rsid w:val="002B764D"/>
    <w:rsid w:val="002B7AD3"/>
    <w:rsid w:val="002C049C"/>
    <w:rsid w:val="002C0B83"/>
    <w:rsid w:val="002C331E"/>
    <w:rsid w:val="002C3639"/>
    <w:rsid w:val="002C556A"/>
    <w:rsid w:val="002C5B4D"/>
    <w:rsid w:val="002C5C9D"/>
    <w:rsid w:val="002C67C9"/>
    <w:rsid w:val="002C6BCB"/>
    <w:rsid w:val="002C71BE"/>
    <w:rsid w:val="002C7FDA"/>
    <w:rsid w:val="002D0472"/>
    <w:rsid w:val="002D0C40"/>
    <w:rsid w:val="002D10C8"/>
    <w:rsid w:val="002D1101"/>
    <w:rsid w:val="002D3509"/>
    <w:rsid w:val="002D383B"/>
    <w:rsid w:val="002D3C7F"/>
    <w:rsid w:val="002D5E91"/>
    <w:rsid w:val="002D67A5"/>
    <w:rsid w:val="002D6DAC"/>
    <w:rsid w:val="002D736A"/>
    <w:rsid w:val="002D7FDC"/>
    <w:rsid w:val="002E049C"/>
    <w:rsid w:val="002E084C"/>
    <w:rsid w:val="002E0A44"/>
    <w:rsid w:val="002E0B6E"/>
    <w:rsid w:val="002E0E2B"/>
    <w:rsid w:val="002E1557"/>
    <w:rsid w:val="002E1FF0"/>
    <w:rsid w:val="002E21E9"/>
    <w:rsid w:val="002E2F52"/>
    <w:rsid w:val="002E3039"/>
    <w:rsid w:val="002E3499"/>
    <w:rsid w:val="002E3BD2"/>
    <w:rsid w:val="002E5070"/>
    <w:rsid w:val="002E656A"/>
    <w:rsid w:val="002E6748"/>
    <w:rsid w:val="002E725A"/>
    <w:rsid w:val="002F0142"/>
    <w:rsid w:val="002F0782"/>
    <w:rsid w:val="002F18D5"/>
    <w:rsid w:val="002F2405"/>
    <w:rsid w:val="002F26FC"/>
    <w:rsid w:val="002F27BD"/>
    <w:rsid w:val="002F290C"/>
    <w:rsid w:val="002F2F04"/>
    <w:rsid w:val="002F3305"/>
    <w:rsid w:val="002F3557"/>
    <w:rsid w:val="002F3724"/>
    <w:rsid w:val="002F3B4D"/>
    <w:rsid w:val="002F4325"/>
    <w:rsid w:val="002F441E"/>
    <w:rsid w:val="002F49D2"/>
    <w:rsid w:val="002F49F1"/>
    <w:rsid w:val="002F50FE"/>
    <w:rsid w:val="002F5A3A"/>
    <w:rsid w:val="002F6777"/>
    <w:rsid w:val="002F6B64"/>
    <w:rsid w:val="002F6DC2"/>
    <w:rsid w:val="002F72FB"/>
    <w:rsid w:val="002F78DF"/>
    <w:rsid w:val="002F7DA9"/>
    <w:rsid w:val="00300139"/>
    <w:rsid w:val="00300B97"/>
    <w:rsid w:val="00301D57"/>
    <w:rsid w:val="00301D9C"/>
    <w:rsid w:val="003025A5"/>
    <w:rsid w:val="0030269B"/>
    <w:rsid w:val="00303036"/>
    <w:rsid w:val="00303F24"/>
    <w:rsid w:val="003043D9"/>
    <w:rsid w:val="0030496E"/>
    <w:rsid w:val="00304A56"/>
    <w:rsid w:val="00305FAB"/>
    <w:rsid w:val="003065AA"/>
    <w:rsid w:val="00306797"/>
    <w:rsid w:val="00307714"/>
    <w:rsid w:val="003079FA"/>
    <w:rsid w:val="003110DB"/>
    <w:rsid w:val="003114FF"/>
    <w:rsid w:val="003119B9"/>
    <w:rsid w:val="00311F25"/>
    <w:rsid w:val="00311F5F"/>
    <w:rsid w:val="003120C0"/>
    <w:rsid w:val="0031308F"/>
    <w:rsid w:val="003138ED"/>
    <w:rsid w:val="00313FAE"/>
    <w:rsid w:val="003150BA"/>
    <w:rsid w:val="003151F7"/>
    <w:rsid w:val="003155AC"/>
    <w:rsid w:val="00316069"/>
    <w:rsid w:val="003162B6"/>
    <w:rsid w:val="00316D3E"/>
    <w:rsid w:val="00316E4D"/>
    <w:rsid w:val="003200B7"/>
    <w:rsid w:val="003203D5"/>
    <w:rsid w:val="00321521"/>
    <w:rsid w:val="003218EB"/>
    <w:rsid w:val="00321D23"/>
    <w:rsid w:val="003238EE"/>
    <w:rsid w:val="00323D6B"/>
    <w:rsid w:val="003241A7"/>
    <w:rsid w:val="003243A7"/>
    <w:rsid w:val="003243C7"/>
    <w:rsid w:val="00324C68"/>
    <w:rsid w:val="003251A4"/>
    <w:rsid w:val="00325558"/>
    <w:rsid w:val="00325765"/>
    <w:rsid w:val="00325B43"/>
    <w:rsid w:val="00325E7E"/>
    <w:rsid w:val="00326102"/>
    <w:rsid w:val="00326424"/>
    <w:rsid w:val="0032705A"/>
    <w:rsid w:val="00327103"/>
    <w:rsid w:val="0032752B"/>
    <w:rsid w:val="003275DD"/>
    <w:rsid w:val="0033045A"/>
    <w:rsid w:val="0033092D"/>
    <w:rsid w:val="00330A67"/>
    <w:rsid w:val="00331062"/>
    <w:rsid w:val="0033147A"/>
    <w:rsid w:val="00331702"/>
    <w:rsid w:val="00331B61"/>
    <w:rsid w:val="0033361C"/>
    <w:rsid w:val="00334BE8"/>
    <w:rsid w:val="0033524C"/>
    <w:rsid w:val="00335742"/>
    <w:rsid w:val="00335906"/>
    <w:rsid w:val="00336762"/>
    <w:rsid w:val="00336C94"/>
    <w:rsid w:val="00337B16"/>
    <w:rsid w:val="00337FD9"/>
    <w:rsid w:val="00340232"/>
    <w:rsid w:val="0034133A"/>
    <w:rsid w:val="003416B5"/>
    <w:rsid w:val="00341A51"/>
    <w:rsid w:val="00341CB7"/>
    <w:rsid w:val="00342A7C"/>
    <w:rsid w:val="00342E64"/>
    <w:rsid w:val="00343921"/>
    <w:rsid w:val="00343B33"/>
    <w:rsid w:val="00343B89"/>
    <w:rsid w:val="00343E10"/>
    <w:rsid w:val="00344119"/>
    <w:rsid w:val="0034474E"/>
    <w:rsid w:val="00344B30"/>
    <w:rsid w:val="00344B84"/>
    <w:rsid w:val="00344B99"/>
    <w:rsid w:val="00344F38"/>
    <w:rsid w:val="00345035"/>
    <w:rsid w:val="003457C7"/>
    <w:rsid w:val="00345BB6"/>
    <w:rsid w:val="00346AFD"/>
    <w:rsid w:val="00346E5A"/>
    <w:rsid w:val="00346FB0"/>
    <w:rsid w:val="003479C9"/>
    <w:rsid w:val="0035017D"/>
    <w:rsid w:val="003502EA"/>
    <w:rsid w:val="0035035C"/>
    <w:rsid w:val="003503BA"/>
    <w:rsid w:val="00350C63"/>
    <w:rsid w:val="00350CD0"/>
    <w:rsid w:val="00351412"/>
    <w:rsid w:val="0035220F"/>
    <w:rsid w:val="00352773"/>
    <w:rsid w:val="00353588"/>
    <w:rsid w:val="0035432A"/>
    <w:rsid w:val="0035459E"/>
    <w:rsid w:val="00354AFB"/>
    <w:rsid w:val="00354F59"/>
    <w:rsid w:val="003553E8"/>
    <w:rsid w:val="00355E0C"/>
    <w:rsid w:val="003562FD"/>
    <w:rsid w:val="00356EB1"/>
    <w:rsid w:val="00357057"/>
    <w:rsid w:val="003570AF"/>
    <w:rsid w:val="00360245"/>
    <w:rsid w:val="003603D8"/>
    <w:rsid w:val="0036087B"/>
    <w:rsid w:val="003618C2"/>
    <w:rsid w:val="003619EC"/>
    <w:rsid w:val="0036258C"/>
    <w:rsid w:val="00362EEF"/>
    <w:rsid w:val="00363FE5"/>
    <w:rsid w:val="003642CD"/>
    <w:rsid w:val="0036460F"/>
    <w:rsid w:val="00364AD3"/>
    <w:rsid w:val="003652CE"/>
    <w:rsid w:val="00366A1B"/>
    <w:rsid w:val="00367BAD"/>
    <w:rsid w:val="00370CB3"/>
    <w:rsid w:val="00370FD9"/>
    <w:rsid w:val="003710C2"/>
    <w:rsid w:val="00371B6E"/>
    <w:rsid w:val="003721FB"/>
    <w:rsid w:val="00372D14"/>
    <w:rsid w:val="00372DF9"/>
    <w:rsid w:val="00373A1A"/>
    <w:rsid w:val="00373D27"/>
    <w:rsid w:val="003747F1"/>
    <w:rsid w:val="00374C26"/>
    <w:rsid w:val="003753BE"/>
    <w:rsid w:val="00375C51"/>
    <w:rsid w:val="00380EA8"/>
    <w:rsid w:val="00380FB8"/>
    <w:rsid w:val="0038341A"/>
    <w:rsid w:val="00383BB5"/>
    <w:rsid w:val="00383DE1"/>
    <w:rsid w:val="00384310"/>
    <w:rsid w:val="003849F3"/>
    <w:rsid w:val="00385130"/>
    <w:rsid w:val="0038556C"/>
    <w:rsid w:val="003857DD"/>
    <w:rsid w:val="00385AB4"/>
    <w:rsid w:val="00385D9F"/>
    <w:rsid w:val="00386386"/>
    <w:rsid w:val="003867BC"/>
    <w:rsid w:val="003878DF"/>
    <w:rsid w:val="00390921"/>
    <w:rsid w:val="00390E2E"/>
    <w:rsid w:val="003919EE"/>
    <w:rsid w:val="00391FC7"/>
    <w:rsid w:val="00392316"/>
    <w:rsid w:val="00392C8A"/>
    <w:rsid w:val="00392CDF"/>
    <w:rsid w:val="003939F1"/>
    <w:rsid w:val="00394186"/>
    <w:rsid w:val="00394417"/>
    <w:rsid w:val="0039457B"/>
    <w:rsid w:val="00395FD7"/>
    <w:rsid w:val="00396D16"/>
    <w:rsid w:val="00397458"/>
    <w:rsid w:val="003A10C7"/>
    <w:rsid w:val="003A162F"/>
    <w:rsid w:val="003A1CC2"/>
    <w:rsid w:val="003A29A1"/>
    <w:rsid w:val="003A4C2B"/>
    <w:rsid w:val="003A4D2C"/>
    <w:rsid w:val="003A5171"/>
    <w:rsid w:val="003A5266"/>
    <w:rsid w:val="003A5FEE"/>
    <w:rsid w:val="003A6941"/>
    <w:rsid w:val="003A7402"/>
    <w:rsid w:val="003A758B"/>
    <w:rsid w:val="003B01D4"/>
    <w:rsid w:val="003B0378"/>
    <w:rsid w:val="003B0E70"/>
    <w:rsid w:val="003B1514"/>
    <w:rsid w:val="003B1AFD"/>
    <w:rsid w:val="003B1E70"/>
    <w:rsid w:val="003B23DF"/>
    <w:rsid w:val="003B28C9"/>
    <w:rsid w:val="003B296F"/>
    <w:rsid w:val="003B3629"/>
    <w:rsid w:val="003B36B0"/>
    <w:rsid w:val="003B5253"/>
    <w:rsid w:val="003B5840"/>
    <w:rsid w:val="003B59E8"/>
    <w:rsid w:val="003B5A88"/>
    <w:rsid w:val="003B664C"/>
    <w:rsid w:val="003B6761"/>
    <w:rsid w:val="003B6C24"/>
    <w:rsid w:val="003B6FA7"/>
    <w:rsid w:val="003B793B"/>
    <w:rsid w:val="003B79DD"/>
    <w:rsid w:val="003C027A"/>
    <w:rsid w:val="003C0393"/>
    <w:rsid w:val="003C0D74"/>
    <w:rsid w:val="003C0FF7"/>
    <w:rsid w:val="003C1116"/>
    <w:rsid w:val="003C13C6"/>
    <w:rsid w:val="003C2293"/>
    <w:rsid w:val="003C29ED"/>
    <w:rsid w:val="003C32BC"/>
    <w:rsid w:val="003C458D"/>
    <w:rsid w:val="003C45DC"/>
    <w:rsid w:val="003C467E"/>
    <w:rsid w:val="003C491B"/>
    <w:rsid w:val="003C51EA"/>
    <w:rsid w:val="003C5A9A"/>
    <w:rsid w:val="003C685F"/>
    <w:rsid w:val="003D09F7"/>
    <w:rsid w:val="003D0E6B"/>
    <w:rsid w:val="003D2250"/>
    <w:rsid w:val="003D2C76"/>
    <w:rsid w:val="003D3B08"/>
    <w:rsid w:val="003D3BB2"/>
    <w:rsid w:val="003D4081"/>
    <w:rsid w:val="003D4419"/>
    <w:rsid w:val="003D659E"/>
    <w:rsid w:val="003D66D8"/>
    <w:rsid w:val="003D6EE0"/>
    <w:rsid w:val="003D7192"/>
    <w:rsid w:val="003D7259"/>
    <w:rsid w:val="003D76B4"/>
    <w:rsid w:val="003E06C4"/>
    <w:rsid w:val="003E0F90"/>
    <w:rsid w:val="003E1225"/>
    <w:rsid w:val="003E125E"/>
    <w:rsid w:val="003E12FD"/>
    <w:rsid w:val="003E147F"/>
    <w:rsid w:val="003E2E50"/>
    <w:rsid w:val="003E37A3"/>
    <w:rsid w:val="003E37F4"/>
    <w:rsid w:val="003E4350"/>
    <w:rsid w:val="003E4A41"/>
    <w:rsid w:val="003E5111"/>
    <w:rsid w:val="003E5561"/>
    <w:rsid w:val="003E5890"/>
    <w:rsid w:val="003E5E44"/>
    <w:rsid w:val="003E6187"/>
    <w:rsid w:val="003E7D05"/>
    <w:rsid w:val="003E7E08"/>
    <w:rsid w:val="003F02CC"/>
    <w:rsid w:val="003F0710"/>
    <w:rsid w:val="003F0C76"/>
    <w:rsid w:val="003F1092"/>
    <w:rsid w:val="003F1B0B"/>
    <w:rsid w:val="003F1B97"/>
    <w:rsid w:val="003F1CB8"/>
    <w:rsid w:val="003F1F97"/>
    <w:rsid w:val="003F2336"/>
    <w:rsid w:val="003F277D"/>
    <w:rsid w:val="003F2836"/>
    <w:rsid w:val="003F317C"/>
    <w:rsid w:val="003F3609"/>
    <w:rsid w:val="003F37D7"/>
    <w:rsid w:val="003F49B6"/>
    <w:rsid w:val="003F4E5F"/>
    <w:rsid w:val="003F5EB9"/>
    <w:rsid w:val="003F5EEE"/>
    <w:rsid w:val="003F6146"/>
    <w:rsid w:val="003F6BD5"/>
    <w:rsid w:val="003F7540"/>
    <w:rsid w:val="004000DF"/>
    <w:rsid w:val="004003CF"/>
    <w:rsid w:val="004006F0"/>
    <w:rsid w:val="0040131D"/>
    <w:rsid w:val="00401889"/>
    <w:rsid w:val="004024EE"/>
    <w:rsid w:val="00403536"/>
    <w:rsid w:val="0040357D"/>
    <w:rsid w:val="004040E9"/>
    <w:rsid w:val="004045E2"/>
    <w:rsid w:val="004046A4"/>
    <w:rsid w:val="00404EDE"/>
    <w:rsid w:val="00405AD6"/>
    <w:rsid w:val="0040644C"/>
    <w:rsid w:val="00406A4C"/>
    <w:rsid w:val="00406EF1"/>
    <w:rsid w:val="004076F7"/>
    <w:rsid w:val="00407730"/>
    <w:rsid w:val="00407E14"/>
    <w:rsid w:val="00407E77"/>
    <w:rsid w:val="00407F58"/>
    <w:rsid w:val="004107A8"/>
    <w:rsid w:val="00410947"/>
    <w:rsid w:val="00411B3D"/>
    <w:rsid w:val="00411F32"/>
    <w:rsid w:val="004121D3"/>
    <w:rsid w:val="00412C53"/>
    <w:rsid w:val="00412D32"/>
    <w:rsid w:val="0041386A"/>
    <w:rsid w:val="004139DF"/>
    <w:rsid w:val="00413BB9"/>
    <w:rsid w:val="00413D2E"/>
    <w:rsid w:val="004147C9"/>
    <w:rsid w:val="00414D40"/>
    <w:rsid w:val="00415752"/>
    <w:rsid w:val="00416A79"/>
    <w:rsid w:val="00416BC7"/>
    <w:rsid w:val="00417FF4"/>
    <w:rsid w:val="00420979"/>
    <w:rsid w:val="00421446"/>
    <w:rsid w:val="004219BD"/>
    <w:rsid w:val="00421E64"/>
    <w:rsid w:val="00421FE7"/>
    <w:rsid w:val="00422894"/>
    <w:rsid w:val="00423020"/>
    <w:rsid w:val="0042336A"/>
    <w:rsid w:val="00423C4D"/>
    <w:rsid w:val="00423E18"/>
    <w:rsid w:val="00423F46"/>
    <w:rsid w:val="00425B31"/>
    <w:rsid w:val="00425EDC"/>
    <w:rsid w:val="00426D25"/>
    <w:rsid w:val="004271EF"/>
    <w:rsid w:val="004273B5"/>
    <w:rsid w:val="0042773C"/>
    <w:rsid w:val="00427893"/>
    <w:rsid w:val="00427F5E"/>
    <w:rsid w:val="004326A6"/>
    <w:rsid w:val="00432CFD"/>
    <w:rsid w:val="00433723"/>
    <w:rsid w:val="00435E4E"/>
    <w:rsid w:val="004373E3"/>
    <w:rsid w:val="00437DB6"/>
    <w:rsid w:val="00440B97"/>
    <w:rsid w:val="00440D65"/>
    <w:rsid w:val="004416DE"/>
    <w:rsid w:val="004416E6"/>
    <w:rsid w:val="00441BB1"/>
    <w:rsid w:val="00441FD6"/>
    <w:rsid w:val="00442251"/>
    <w:rsid w:val="00442383"/>
    <w:rsid w:val="00442E41"/>
    <w:rsid w:val="00443541"/>
    <w:rsid w:val="0044373C"/>
    <w:rsid w:val="004439B2"/>
    <w:rsid w:val="0044443A"/>
    <w:rsid w:val="00444710"/>
    <w:rsid w:val="0044525F"/>
    <w:rsid w:val="0044672B"/>
    <w:rsid w:val="00446DA2"/>
    <w:rsid w:val="00446E37"/>
    <w:rsid w:val="00447C2E"/>
    <w:rsid w:val="00447EFF"/>
    <w:rsid w:val="00447F29"/>
    <w:rsid w:val="00450DEB"/>
    <w:rsid w:val="0045170A"/>
    <w:rsid w:val="00451C17"/>
    <w:rsid w:val="004522F4"/>
    <w:rsid w:val="00452F4A"/>
    <w:rsid w:val="00454750"/>
    <w:rsid w:val="00455465"/>
    <w:rsid w:val="00455805"/>
    <w:rsid w:val="00455A08"/>
    <w:rsid w:val="00455C9A"/>
    <w:rsid w:val="00455EE9"/>
    <w:rsid w:val="00456487"/>
    <w:rsid w:val="0045699F"/>
    <w:rsid w:val="00456DFE"/>
    <w:rsid w:val="00456F22"/>
    <w:rsid w:val="0045789B"/>
    <w:rsid w:val="00460130"/>
    <w:rsid w:val="0046014C"/>
    <w:rsid w:val="00460223"/>
    <w:rsid w:val="0046026A"/>
    <w:rsid w:val="00460511"/>
    <w:rsid w:val="004614D0"/>
    <w:rsid w:val="0046161C"/>
    <w:rsid w:val="00461EF2"/>
    <w:rsid w:val="004620EC"/>
    <w:rsid w:val="004628A5"/>
    <w:rsid w:val="004631C6"/>
    <w:rsid w:val="004635D8"/>
    <w:rsid w:val="00464818"/>
    <w:rsid w:val="00464BE1"/>
    <w:rsid w:val="00465C6A"/>
    <w:rsid w:val="00465E29"/>
    <w:rsid w:val="00466D34"/>
    <w:rsid w:val="00470064"/>
    <w:rsid w:val="00471C3B"/>
    <w:rsid w:val="00471DD4"/>
    <w:rsid w:val="00472195"/>
    <w:rsid w:val="004724A1"/>
    <w:rsid w:val="004726FA"/>
    <w:rsid w:val="00472DC8"/>
    <w:rsid w:val="004745E3"/>
    <w:rsid w:val="004757C8"/>
    <w:rsid w:val="004758C3"/>
    <w:rsid w:val="00475CA7"/>
    <w:rsid w:val="00480CE9"/>
    <w:rsid w:val="00480D99"/>
    <w:rsid w:val="004816F4"/>
    <w:rsid w:val="00483080"/>
    <w:rsid w:val="004834E8"/>
    <w:rsid w:val="00483A3D"/>
    <w:rsid w:val="00483B35"/>
    <w:rsid w:val="00485200"/>
    <w:rsid w:val="00485307"/>
    <w:rsid w:val="00485560"/>
    <w:rsid w:val="004856BD"/>
    <w:rsid w:val="0048586E"/>
    <w:rsid w:val="00485DA2"/>
    <w:rsid w:val="00486E44"/>
    <w:rsid w:val="004903FE"/>
    <w:rsid w:val="00490717"/>
    <w:rsid w:val="00490E09"/>
    <w:rsid w:val="0049272E"/>
    <w:rsid w:val="00492B95"/>
    <w:rsid w:val="00492DDC"/>
    <w:rsid w:val="00492F93"/>
    <w:rsid w:val="004933ED"/>
    <w:rsid w:val="00493D1F"/>
    <w:rsid w:val="004948F8"/>
    <w:rsid w:val="00494DB5"/>
    <w:rsid w:val="0049508B"/>
    <w:rsid w:val="00496D4A"/>
    <w:rsid w:val="00497760"/>
    <w:rsid w:val="00497E9D"/>
    <w:rsid w:val="004A026E"/>
    <w:rsid w:val="004A0314"/>
    <w:rsid w:val="004A085E"/>
    <w:rsid w:val="004A09C6"/>
    <w:rsid w:val="004A0D55"/>
    <w:rsid w:val="004A18F6"/>
    <w:rsid w:val="004A1B59"/>
    <w:rsid w:val="004A2552"/>
    <w:rsid w:val="004A2E7F"/>
    <w:rsid w:val="004A32EE"/>
    <w:rsid w:val="004A46B2"/>
    <w:rsid w:val="004A49BE"/>
    <w:rsid w:val="004A4BF7"/>
    <w:rsid w:val="004A5286"/>
    <w:rsid w:val="004A5644"/>
    <w:rsid w:val="004A5817"/>
    <w:rsid w:val="004A66C2"/>
    <w:rsid w:val="004A6D00"/>
    <w:rsid w:val="004A79C9"/>
    <w:rsid w:val="004A7E1F"/>
    <w:rsid w:val="004B104F"/>
    <w:rsid w:val="004B144E"/>
    <w:rsid w:val="004B15F2"/>
    <w:rsid w:val="004B1EB3"/>
    <w:rsid w:val="004B23F9"/>
    <w:rsid w:val="004B2BDA"/>
    <w:rsid w:val="004B38BC"/>
    <w:rsid w:val="004B3B9F"/>
    <w:rsid w:val="004B3BA9"/>
    <w:rsid w:val="004B4749"/>
    <w:rsid w:val="004B5230"/>
    <w:rsid w:val="004B571A"/>
    <w:rsid w:val="004B6133"/>
    <w:rsid w:val="004B6354"/>
    <w:rsid w:val="004B6384"/>
    <w:rsid w:val="004B657A"/>
    <w:rsid w:val="004B710B"/>
    <w:rsid w:val="004C003A"/>
    <w:rsid w:val="004C0831"/>
    <w:rsid w:val="004C0D07"/>
    <w:rsid w:val="004C15AA"/>
    <w:rsid w:val="004C193D"/>
    <w:rsid w:val="004C1B2C"/>
    <w:rsid w:val="004C2C65"/>
    <w:rsid w:val="004C54D3"/>
    <w:rsid w:val="004C579E"/>
    <w:rsid w:val="004C5D07"/>
    <w:rsid w:val="004C5D70"/>
    <w:rsid w:val="004C65E8"/>
    <w:rsid w:val="004C6F8A"/>
    <w:rsid w:val="004C730A"/>
    <w:rsid w:val="004C7F83"/>
    <w:rsid w:val="004D0DF9"/>
    <w:rsid w:val="004D22DF"/>
    <w:rsid w:val="004D2753"/>
    <w:rsid w:val="004D31D3"/>
    <w:rsid w:val="004D3782"/>
    <w:rsid w:val="004D38E5"/>
    <w:rsid w:val="004D4F65"/>
    <w:rsid w:val="004D5384"/>
    <w:rsid w:val="004D54CA"/>
    <w:rsid w:val="004D57E7"/>
    <w:rsid w:val="004D5F09"/>
    <w:rsid w:val="004D5F95"/>
    <w:rsid w:val="004D608C"/>
    <w:rsid w:val="004D6275"/>
    <w:rsid w:val="004D665B"/>
    <w:rsid w:val="004D6F54"/>
    <w:rsid w:val="004D748F"/>
    <w:rsid w:val="004D74F2"/>
    <w:rsid w:val="004D78B8"/>
    <w:rsid w:val="004D78FA"/>
    <w:rsid w:val="004E0B34"/>
    <w:rsid w:val="004E0C38"/>
    <w:rsid w:val="004E0C56"/>
    <w:rsid w:val="004E0E31"/>
    <w:rsid w:val="004E1710"/>
    <w:rsid w:val="004E3359"/>
    <w:rsid w:val="004E474D"/>
    <w:rsid w:val="004E4C05"/>
    <w:rsid w:val="004E5575"/>
    <w:rsid w:val="004E5649"/>
    <w:rsid w:val="004E57E9"/>
    <w:rsid w:val="004E6369"/>
    <w:rsid w:val="004E63B4"/>
    <w:rsid w:val="004E7043"/>
    <w:rsid w:val="004F0079"/>
    <w:rsid w:val="004F0347"/>
    <w:rsid w:val="004F06B9"/>
    <w:rsid w:val="004F0840"/>
    <w:rsid w:val="004F1067"/>
    <w:rsid w:val="004F138B"/>
    <w:rsid w:val="004F2299"/>
    <w:rsid w:val="004F2340"/>
    <w:rsid w:val="004F28FB"/>
    <w:rsid w:val="004F2E6D"/>
    <w:rsid w:val="004F31C1"/>
    <w:rsid w:val="004F3EFD"/>
    <w:rsid w:val="004F52E5"/>
    <w:rsid w:val="004F546F"/>
    <w:rsid w:val="004F5495"/>
    <w:rsid w:val="004F5827"/>
    <w:rsid w:val="004F6560"/>
    <w:rsid w:val="004F65A3"/>
    <w:rsid w:val="004F6676"/>
    <w:rsid w:val="004F6F16"/>
    <w:rsid w:val="004F702C"/>
    <w:rsid w:val="005003B3"/>
    <w:rsid w:val="00500442"/>
    <w:rsid w:val="00500483"/>
    <w:rsid w:val="0050053E"/>
    <w:rsid w:val="00500622"/>
    <w:rsid w:val="00500696"/>
    <w:rsid w:val="00500B2D"/>
    <w:rsid w:val="00500DEE"/>
    <w:rsid w:val="00501E05"/>
    <w:rsid w:val="00501E82"/>
    <w:rsid w:val="005022A1"/>
    <w:rsid w:val="00502DE8"/>
    <w:rsid w:val="00503D73"/>
    <w:rsid w:val="00503D9A"/>
    <w:rsid w:val="00504657"/>
    <w:rsid w:val="005047CE"/>
    <w:rsid w:val="00505716"/>
    <w:rsid w:val="005060B0"/>
    <w:rsid w:val="0050616E"/>
    <w:rsid w:val="005064EE"/>
    <w:rsid w:val="005073C0"/>
    <w:rsid w:val="00507656"/>
    <w:rsid w:val="005079C3"/>
    <w:rsid w:val="00510BA0"/>
    <w:rsid w:val="00510FCB"/>
    <w:rsid w:val="00511037"/>
    <w:rsid w:val="005114D1"/>
    <w:rsid w:val="005120CF"/>
    <w:rsid w:val="005124A1"/>
    <w:rsid w:val="005138AA"/>
    <w:rsid w:val="00513AF9"/>
    <w:rsid w:val="00513BA2"/>
    <w:rsid w:val="00513FBB"/>
    <w:rsid w:val="00514A04"/>
    <w:rsid w:val="00514C1A"/>
    <w:rsid w:val="00514CD9"/>
    <w:rsid w:val="00515066"/>
    <w:rsid w:val="0051506A"/>
    <w:rsid w:val="005150D2"/>
    <w:rsid w:val="00515F00"/>
    <w:rsid w:val="00515FEE"/>
    <w:rsid w:val="005160BD"/>
    <w:rsid w:val="0051639D"/>
    <w:rsid w:val="005203FE"/>
    <w:rsid w:val="00520708"/>
    <w:rsid w:val="00521952"/>
    <w:rsid w:val="00521CCF"/>
    <w:rsid w:val="00521D9A"/>
    <w:rsid w:val="00521F80"/>
    <w:rsid w:val="00522023"/>
    <w:rsid w:val="00522450"/>
    <w:rsid w:val="00524664"/>
    <w:rsid w:val="00524D91"/>
    <w:rsid w:val="00525228"/>
    <w:rsid w:val="00525236"/>
    <w:rsid w:val="00526E31"/>
    <w:rsid w:val="00527F81"/>
    <w:rsid w:val="005303DC"/>
    <w:rsid w:val="00530981"/>
    <w:rsid w:val="00531534"/>
    <w:rsid w:val="00531F66"/>
    <w:rsid w:val="00533765"/>
    <w:rsid w:val="00533B66"/>
    <w:rsid w:val="00533D46"/>
    <w:rsid w:val="00533DEA"/>
    <w:rsid w:val="00533F2F"/>
    <w:rsid w:val="00534254"/>
    <w:rsid w:val="005347FF"/>
    <w:rsid w:val="00535809"/>
    <w:rsid w:val="005358CD"/>
    <w:rsid w:val="00535BC3"/>
    <w:rsid w:val="00535C34"/>
    <w:rsid w:val="00535CEE"/>
    <w:rsid w:val="0053606F"/>
    <w:rsid w:val="005368E4"/>
    <w:rsid w:val="00536FF3"/>
    <w:rsid w:val="00540214"/>
    <w:rsid w:val="00540647"/>
    <w:rsid w:val="00540729"/>
    <w:rsid w:val="00540D8F"/>
    <w:rsid w:val="00540F7E"/>
    <w:rsid w:val="00541C91"/>
    <w:rsid w:val="00542969"/>
    <w:rsid w:val="00543010"/>
    <w:rsid w:val="005432E8"/>
    <w:rsid w:val="005439FA"/>
    <w:rsid w:val="00543BFB"/>
    <w:rsid w:val="005444D0"/>
    <w:rsid w:val="00545134"/>
    <w:rsid w:val="00545671"/>
    <w:rsid w:val="00550067"/>
    <w:rsid w:val="00550138"/>
    <w:rsid w:val="00550E9B"/>
    <w:rsid w:val="00551343"/>
    <w:rsid w:val="0055168F"/>
    <w:rsid w:val="00553197"/>
    <w:rsid w:val="0055388A"/>
    <w:rsid w:val="00553D87"/>
    <w:rsid w:val="00554BCA"/>
    <w:rsid w:val="005551EE"/>
    <w:rsid w:val="00555ACD"/>
    <w:rsid w:val="00556B34"/>
    <w:rsid w:val="00557585"/>
    <w:rsid w:val="00557FEC"/>
    <w:rsid w:val="0056008D"/>
    <w:rsid w:val="00560215"/>
    <w:rsid w:val="00560235"/>
    <w:rsid w:val="005608A4"/>
    <w:rsid w:val="00560A83"/>
    <w:rsid w:val="0056118D"/>
    <w:rsid w:val="00562A61"/>
    <w:rsid w:val="00562D1C"/>
    <w:rsid w:val="00562F00"/>
    <w:rsid w:val="005631CE"/>
    <w:rsid w:val="005634FE"/>
    <w:rsid w:val="00564FEB"/>
    <w:rsid w:val="0056556F"/>
    <w:rsid w:val="005655DB"/>
    <w:rsid w:val="0056594E"/>
    <w:rsid w:val="005659F7"/>
    <w:rsid w:val="00565D46"/>
    <w:rsid w:val="00566670"/>
    <w:rsid w:val="00566EB7"/>
    <w:rsid w:val="00566EFC"/>
    <w:rsid w:val="005674E1"/>
    <w:rsid w:val="00570405"/>
    <w:rsid w:val="00571707"/>
    <w:rsid w:val="00571E36"/>
    <w:rsid w:val="0057206D"/>
    <w:rsid w:val="00572187"/>
    <w:rsid w:val="005723E5"/>
    <w:rsid w:val="00573152"/>
    <w:rsid w:val="0057337C"/>
    <w:rsid w:val="0057481E"/>
    <w:rsid w:val="00574CD0"/>
    <w:rsid w:val="00575117"/>
    <w:rsid w:val="00575753"/>
    <w:rsid w:val="00580373"/>
    <w:rsid w:val="005806DB"/>
    <w:rsid w:val="00580B69"/>
    <w:rsid w:val="00581637"/>
    <w:rsid w:val="00582269"/>
    <w:rsid w:val="00582F8E"/>
    <w:rsid w:val="00583245"/>
    <w:rsid w:val="00583671"/>
    <w:rsid w:val="0058385B"/>
    <w:rsid w:val="00583D42"/>
    <w:rsid w:val="00584562"/>
    <w:rsid w:val="00585093"/>
    <w:rsid w:val="00585B3C"/>
    <w:rsid w:val="00585BD9"/>
    <w:rsid w:val="00586860"/>
    <w:rsid w:val="00586B43"/>
    <w:rsid w:val="00586FB8"/>
    <w:rsid w:val="005876DE"/>
    <w:rsid w:val="00587BCB"/>
    <w:rsid w:val="00587C7C"/>
    <w:rsid w:val="00587F01"/>
    <w:rsid w:val="005919A4"/>
    <w:rsid w:val="005919C2"/>
    <w:rsid w:val="00592795"/>
    <w:rsid w:val="005928B2"/>
    <w:rsid w:val="00592D0E"/>
    <w:rsid w:val="0059377D"/>
    <w:rsid w:val="00593B32"/>
    <w:rsid w:val="0059400B"/>
    <w:rsid w:val="00595D4A"/>
    <w:rsid w:val="005967F1"/>
    <w:rsid w:val="00596C52"/>
    <w:rsid w:val="005979A4"/>
    <w:rsid w:val="00597F01"/>
    <w:rsid w:val="00597F5B"/>
    <w:rsid w:val="005A0369"/>
    <w:rsid w:val="005A1486"/>
    <w:rsid w:val="005A2090"/>
    <w:rsid w:val="005A2517"/>
    <w:rsid w:val="005A2A3E"/>
    <w:rsid w:val="005A388C"/>
    <w:rsid w:val="005A3BE5"/>
    <w:rsid w:val="005A407A"/>
    <w:rsid w:val="005A424C"/>
    <w:rsid w:val="005A4495"/>
    <w:rsid w:val="005A454A"/>
    <w:rsid w:val="005A5073"/>
    <w:rsid w:val="005A5B53"/>
    <w:rsid w:val="005A5E14"/>
    <w:rsid w:val="005A600F"/>
    <w:rsid w:val="005A6532"/>
    <w:rsid w:val="005A7274"/>
    <w:rsid w:val="005A731C"/>
    <w:rsid w:val="005A7A2C"/>
    <w:rsid w:val="005B09E0"/>
    <w:rsid w:val="005B0A92"/>
    <w:rsid w:val="005B0AA8"/>
    <w:rsid w:val="005B13F5"/>
    <w:rsid w:val="005B1702"/>
    <w:rsid w:val="005B1A93"/>
    <w:rsid w:val="005B1B7E"/>
    <w:rsid w:val="005B2355"/>
    <w:rsid w:val="005B248B"/>
    <w:rsid w:val="005B341E"/>
    <w:rsid w:val="005B3B43"/>
    <w:rsid w:val="005B404C"/>
    <w:rsid w:val="005B49F6"/>
    <w:rsid w:val="005B4F37"/>
    <w:rsid w:val="005B5DB7"/>
    <w:rsid w:val="005B61FB"/>
    <w:rsid w:val="005B6E94"/>
    <w:rsid w:val="005B7DD1"/>
    <w:rsid w:val="005C0F16"/>
    <w:rsid w:val="005C12CA"/>
    <w:rsid w:val="005C2790"/>
    <w:rsid w:val="005C280E"/>
    <w:rsid w:val="005C2E8D"/>
    <w:rsid w:val="005C2FF0"/>
    <w:rsid w:val="005C360B"/>
    <w:rsid w:val="005C3E5F"/>
    <w:rsid w:val="005C4751"/>
    <w:rsid w:val="005C4D4E"/>
    <w:rsid w:val="005C57F2"/>
    <w:rsid w:val="005C5C0C"/>
    <w:rsid w:val="005C5DD1"/>
    <w:rsid w:val="005C6E55"/>
    <w:rsid w:val="005C6E72"/>
    <w:rsid w:val="005D012D"/>
    <w:rsid w:val="005D0346"/>
    <w:rsid w:val="005D0472"/>
    <w:rsid w:val="005D110E"/>
    <w:rsid w:val="005D1308"/>
    <w:rsid w:val="005D1661"/>
    <w:rsid w:val="005D2145"/>
    <w:rsid w:val="005D3874"/>
    <w:rsid w:val="005D4A0E"/>
    <w:rsid w:val="005D574E"/>
    <w:rsid w:val="005D58EF"/>
    <w:rsid w:val="005D592F"/>
    <w:rsid w:val="005D5ADD"/>
    <w:rsid w:val="005D665C"/>
    <w:rsid w:val="005D720F"/>
    <w:rsid w:val="005D7317"/>
    <w:rsid w:val="005D7769"/>
    <w:rsid w:val="005E0055"/>
    <w:rsid w:val="005E0291"/>
    <w:rsid w:val="005E07D3"/>
    <w:rsid w:val="005E0B8A"/>
    <w:rsid w:val="005E1029"/>
    <w:rsid w:val="005E14BD"/>
    <w:rsid w:val="005E1586"/>
    <w:rsid w:val="005E1628"/>
    <w:rsid w:val="005E26E0"/>
    <w:rsid w:val="005E30F9"/>
    <w:rsid w:val="005E3A7F"/>
    <w:rsid w:val="005E3C5B"/>
    <w:rsid w:val="005E4875"/>
    <w:rsid w:val="005E6B52"/>
    <w:rsid w:val="005E6BDE"/>
    <w:rsid w:val="005E6F43"/>
    <w:rsid w:val="005E7222"/>
    <w:rsid w:val="005E75BE"/>
    <w:rsid w:val="005E7B8C"/>
    <w:rsid w:val="005F018D"/>
    <w:rsid w:val="005F151C"/>
    <w:rsid w:val="005F1B0C"/>
    <w:rsid w:val="005F275F"/>
    <w:rsid w:val="005F2937"/>
    <w:rsid w:val="005F5735"/>
    <w:rsid w:val="005F5875"/>
    <w:rsid w:val="005F5ACF"/>
    <w:rsid w:val="005F5AD3"/>
    <w:rsid w:val="005F5EEA"/>
    <w:rsid w:val="005F601C"/>
    <w:rsid w:val="005F6453"/>
    <w:rsid w:val="005F67E9"/>
    <w:rsid w:val="005F69A3"/>
    <w:rsid w:val="005F6C69"/>
    <w:rsid w:val="005F76C9"/>
    <w:rsid w:val="005F78B0"/>
    <w:rsid w:val="00600164"/>
    <w:rsid w:val="0060065F"/>
    <w:rsid w:val="00600A2C"/>
    <w:rsid w:val="00601668"/>
    <w:rsid w:val="00602759"/>
    <w:rsid w:val="006028A2"/>
    <w:rsid w:val="0060353C"/>
    <w:rsid w:val="0060381A"/>
    <w:rsid w:val="00603B3F"/>
    <w:rsid w:val="00603C6C"/>
    <w:rsid w:val="006045C8"/>
    <w:rsid w:val="0060496C"/>
    <w:rsid w:val="00604F32"/>
    <w:rsid w:val="006050A3"/>
    <w:rsid w:val="00605AF5"/>
    <w:rsid w:val="00605D23"/>
    <w:rsid w:val="0060620E"/>
    <w:rsid w:val="00606567"/>
    <w:rsid w:val="00606D54"/>
    <w:rsid w:val="006072D2"/>
    <w:rsid w:val="00610941"/>
    <w:rsid w:val="00610AD7"/>
    <w:rsid w:val="006128AD"/>
    <w:rsid w:val="006132E7"/>
    <w:rsid w:val="00613307"/>
    <w:rsid w:val="00613B03"/>
    <w:rsid w:val="006145DD"/>
    <w:rsid w:val="00615A37"/>
    <w:rsid w:val="00615C02"/>
    <w:rsid w:val="00615E25"/>
    <w:rsid w:val="006178D8"/>
    <w:rsid w:val="00620CF9"/>
    <w:rsid w:val="00620F57"/>
    <w:rsid w:val="00621484"/>
    <w:rsid w:val="00621C64"/>
    <w:rsid w:val="00623211"/>
    <w:rsid w:val="0062436D"/>
    <w:rsid w:val="0062452D"/>
    <w:rsid w:val="00625396"/>
    <w:rsid w:val="00626614"/>
    <w:rsid w:val="00626E0A"/>
    <w:rsid w:val="0062780B"/>
    <w:rsid w:val="006305E9"/>
    <w:rsid w:val="00631099"/>
    <w:rsid w:val="00631484"/>
    <w:rsid w:val="00631CC7"/>
    <w:rsid w:val="0063331D"/>
    <w:rsid w:val="00633CBB"/>
    <w:rsid w:val="0063415F"/>
    <w:rsid w:val="00634454"/>
    <w:rsid w:val="00634DCB"/>
    <w:rsid w:val="006352EB"/>
    <w:rsid w:val="006360D6"/>
    <w:rsid w:val="00636B24"/>
    <w:rsid w:val="00637356"/>
    <w:rsid w:val="006379EB"/>
    <w:rsid w:val="006408C2"/>
    <w:rsid w:val="00640925"/>
    <w:rsid w:val="006409AD"/>
    <w:rsid w:val="00640B59"/>
    <w:rsid w:val="0064142A"/>
    <w:rsid w:val="00642A45"/>
    <w:rsid w:val="00643C0D"/>
    <w:rsid w:val="00643F88"/>
    <w:rsid w:val="006441FB"/>
    <w:rsid w:val="00644822"/>
    <w:rsid w:val="00644FD8"/>
    <w:rsid w:val="00645176"/>
    <w:rsid w:val="006456D9"/>
    <w:rsid w:val="00645ECA"/>
    <w:rsid w:val="00647055"/>
    <w:rsid w:val="00647672"/>
    <w:rsid w:val="00647A72"/>
    <w:rsid w:val="0065094A"/>
    <w:rsid w:val="00650A2C"/>
    <w:rsid w:val="00651520"/>
    <w:rsid w:val="00651F4E"/>
    <w:rsid w:val="00652481"/>
    <w:rsid w:val="006525A5"/>
    <w:rsid w:val="00654F09"/>
    <w:rsid w:val="00655C45"/>
    <w:rsid w:val="006563BE"/>
    <w:rsid w:val="00656AD1"/>
    <w:rsid w:val="00657603"/>
    <w:rsid w:val="00657AA7"/>
    <w:rsid w:val="00657C08"/>
    <w:rsid w:val="00657FA8"/>
    <w:rsid w:val="0066044E"/>
    <w:rsid w:val="00661147"/>
    <w:rsid w:val="00661260"/>
    <w:rsid w:val="006619CC"/>
    <w:rsid w:val="00661B06"/>
    <w:rsid w:val="00662C4F"/>
    <w:rsid w:val="00662E04"/>
    <w:rsid w:val="00664D1B"/>
    <w:rsid w:val="00665D3B"/>
    <w:rsid w:val="0066609B"/>
    <w:rsid w:val="006671BE"/>
    <w:rsid w:val="0066764F"/>
    <w:rsid w:val="00670462"/>
    <w:rsid w:val="006715A5"/>
    <w:rsid w:val="00672AB4"/>
    <w:rsid w:val="00672C97"/>
    <w:rsid w:val="00672D21"/>
    <w:rsid w:val="00673EC7"/>
    <w:rsid w:val="00674B33"/>
    <w:rsid w:val="00674B96"/>
    <w:rsid w:val="00674F8B"/>
    <w:rsid w:val="00676117"/>
    <w:rsid w:val="0067664B"/>
    <w:rsid w:val="00677345"/>
    <w:rsid w:val="00677A2C"/>
    <w:rsid w:val="00680035"/>
    <w:rsid w:val="00680040"/>
    <w:rsid w:val="00680737"/>
    <w:rsid w:val="006816C1"/>
    <w:rsid w:val="00681813"/>
    <w:rsid w:val="00681AE8"/>
    <w:rsid w:val="00682CA5"/>
    <w:rsid w:val="0068336C"/>
    <w:rsid w:val="0068344F"/>
    <w:rsid w:val="00683EFE"/>
    <w:rsid w:val="00684C4E"/>
    <w:rsid w:val="00685085"/>
    <w:rsid w:val="00685B96"/>
    <w:rsid w:val="0068643A"/>
    <w:rsid w:val="00686BD3"/>
    <w:rsid w:val="006871C0"/>
    <w:rsid w:val="00687564"/>
    <w:rsid w:val="006875DF"/>
    <w:rsid w:val="0068777D"/>
    <w:rsid w:val="00687C54"/>
    <w:rsid w:val="00690988"/>
    <w:rsid w:val="00691128"/>
    <w:rsid w:val="00691185"/>
    <w:rsid w:val="0069123E"/>
    <w:rsid w:val="00691246"/>
    <w:rsid w:val="00691822"/>
    <w:rsid w:val="0069193A"/>
    <w:rsid w:val="00691E8C"/>
    <w:rsid w:val="00692480"/>
    <w:rsid w:val="00692702"/>
    <w:rsid w:val="00692973"/>
    <w:rsid w:val="00692D4F"/>
    <w:rsid w:val="00693D2C"/>
    <w:rsid w:val="006940EF"/>
    <w:rsid w:val="006941A1"/>
    <w:rsid w:val="00694341"/>
    <w:rsid w:val="0069459F"/>
    <w:rsid w:val="0069514B"/>
    <w:rsid w:val="006957B5"/>
    <w:rsid w:val="00695899"/>
    <w:rsid w:val="00696DE0"/>
    <w:rsid w:val="006A075B"/>
    <w:rsid w:val="006A0986"/>
    <w:rsid w:val="006A0B7B"/>
    <w:rsid w:val="006A1DE3"/>
    <w:rsid w:val="006A224B"/>
    <w:rsid w:val="006A27B7"/>
    <w:rsid w:val="006A2DF2"/>
    <w:rsid w:val="006A2FB6"/>
    <w:rsid w:val="006A3424"/>
    <w:rsid w:val="006A3572"/>
    <w:rsid w:val="006A395D"/>
    <w:rsid w:val="006A3CC3"/>
    <w:rsid w:val="006A47E2"/>
    <w:rsid w:val="006A4995"/>
    <w:rsid w:val="006A4A0A"/>
    <w:rsid w:val="006A4E90"/>
    <w:rsid w:val="006A71A6"/>
    <w:rsid w:val="006A76B0"/>
    <w:rsid w:val="006A7A7F"/>
    <w:rsid w:val="006B0B32"/>
    <w:rsid w:val="006B14FF"/>
    <w:rsid w:val="006B19CD"/>
    <w:rsid w:val="006B2840"/>
    <w:rsid w:val="006B2A5A"/>
    <w:rsid w:val="006B331A"/>
    <w:rsid w:val="006B3FAA"/>
    <w:rsid w:val="006B4BAC"/>
    <w:rsid w:val="006B525F"/>
    <w:rsid w:val="006B66FC"/>
    <w:rsid w:val="006B6D70"/>
    <w:rsid w:val="006B7840"/>
    <w:rsid w:val="006C01CE"/>
    <w:rsid w:val="006C0386"/>
    <w:rsid w:val="006C0506"/>
    <w:rsid w:val="006C0ABF"/>
    <w:rsid w:val="006C0F38"/>
    <w:rsid w:val="006C1580"/>
    <w:rsid w:val="006C1BC7"/>
    <w:rsid w:val="006C1E99"/>
    <w:rsid w:val="006C1EAD"/>
    <w:rsid w:val="006C268C"/>
    <w:rsid w:val="006C37C6"/>
    <w:rsid w:val="006C3B51"/>
    <w:rsid w:val="006C3BA6"/>
    <w:rsid w:val="006C3DE1"/>
    <w:rsid w:val="006C4232"/>
    <w:rsid w:val="006C43D7"/>
    <w:rsid w:val="006C4961"/>
    <w:rsid w:val="006C4C93"/>
    <w:rsid w:val="006C4F7D"/>
    <w:rsid w:val="006C5260"/>
    <w:rsid w:val="006C536C"/>
    <w:rsid w:val="006C5B44"/>
    <w:rsid w:val="006C5EC1"/>
    <w:rsid w:val="006C5F4F"/>
    <w:rsid w:val="006C5FBD"/>
    <w:rsid w:val="006C75BD"/>
    <w:rsid w:val="006C7A72"/>
    <w:rsid w:val="006C7B35"/>
    <w:rsid w:val="006D0444"/>
    <w:rsid w:val="006D1627"/>
    <w:rsid w:val="006D1959"/>
    <w:rsid w:val="006D1E6B"/>
    <w:rsid w:val="006D3048"/>
    <w:rsid w:val="006D3C35"/>
    <w:rsid w:val="006D3D9D"/>
    <w:rsid w:val="006D4347"/>
    <w:rsid w:val="006D461B"/>
    <w:rsid w:val="006D4CB1"/>
    <w:rsid w:val="006D546D"/>
    <w:rsid w:val="006D68BF"/>
    <w:rsid w:val="006D7398"/>
    <w:rsid w:val="006D7ACA"/>
    <w:rsid w:val="006E1654"/>
    <w:rsid w:val="006E16FB"/>
    <w:rsid w:val="006E2130"/>
    <w:rsid w:val="006E29E4"/>
    <w:rsid w:val="006E4D4E"/>
    <w:rsid w:val="006E60ED"/>
    <w:rsid w:val="006E6303"/>
    <w:rsid w:val="006E7701"/>
    <w:rsid w:val="006F03F0"/>
    <w:rsid w:val="006F04ED"/>
    <w:rsid w:val="006F06D8"/>
    <w:rsid w:val="006F0A12"/>
    <w:rsid w:val="006F0B19"/>
    <w:rsid w:val="006F11B6"/>
    <w:rsid w:val="006F1CC6"/>
    <w:rsid w:val="006F1F43"/>
    <w:rsid w:val="006F2128"/>
    <w:rsid w:val="006F29CF"/>
    <w:rsid w:val="006F2A9D"/>
    <w:rsid w:val="006F30CC"/>
    <w:rsid w:val="006F4F3F"/>
    <w:rsid w:val="006F5276"/>
    <w:rsid w:val="006F54D5"/>
    <w:rsid w:val="006F5BE8"/>
    <w:rsid w:val="006F61CC"/>
    <w:rsid w:val="006F71F1"/>
    <w:rsid w:val="006F73D9"/>
    <w:rsid w:val="007009B5"/>
    <w:rsid w:val="00701577"/>
    <w:rsid w:val="0070226C"/>
    <w:rsid w:val="0070394A"/>
    <w:rsid w:val="007048F4"/>
    <w:rsid w:val="0070542D"/>
    <w:rsid w:val="00705C51"/>
    <w:rsid w:val="00706DCB"/>
    <w:rsid w:val="00706DF8"/>
    <w:rsid w:val="00706FCB"/>
    <w:rsid w:val="007071E1"/>
    <w:rsid w:val="007077A2"/>
    <w:rsid w:val="00710009"/>
    <w:rsid w:val="00710095"/>
    <w:rsid w:val="00710378"/>
    <w:rsid w:val="00710BA2"/>
    <w:rsid w:val="00710E59"/>
    <w:rsid w:val="00710F19"/>
    <w:rsid w:val="00711003"/>
    <w:rsid w:val="00711088"/>
    <w:rsid w:val="0071186B"/>
    <w:rsid w:val="00711EBE"/>
    <w:rsid w:val="00711F47"/>
    <w:rsid w:val="007126C4"/>
    <w:rsid w:val="007129BA"/>
    <w:rsid w:val="00712D8B"/>
    <w:rsid w:val="0071380E"/>
    <w:rsid w:val="00714335"/>
    <w:rsid w:val="00714B75"/>
    <w:rsid w:val="00714D9B"/>
    <w:rsid w:val="007167A0"/>
    <w:rsid w:val="00716F03"/>
    <w:rsid w:val="007172AC"/>
    <w:rsid w:val="0072038E"/>
    <w:rsid w:val="007204C6"/>
    <w:rsid w:val="00720A09"/>
    <w:rsid w:val="00720A47"/>
    <w:rsid w:val="007216A8"/>
    <w:rsid w:val="0072179E"/>
    <w:rsid w:val="00721B13"/>
    <w:rsid w:val="00722D4B"/>
    <w:rsid w:val="00726158"/>
    <w:rsid w:val="00727566"/>
    <w:rsid w:val="007278A3"/>
    <w:rsid w:val="00731028"/>
    <w:rsid w:val="007312E5"/>
    <w:rsid w:val="00731CBD"/>
    <w:rsid w:val="00732452"/>
    <w:rsid w:val="00732718"/>
    <w:rsid w:val="00732CBA"/>
    <w:rsid w:val="00732FFF"/>
    <w:rsid w:val="0073318C"/>
    <w:rsid w:val="007348AC"/>
    <w:rsid w:val="00735ED4"/>
    <w:rsid w:val="00736B65"/>
    <w:rsid w:val="007373A1"/>
    <w:rsid w:val="007438DD"/>
    <w:rsid w:val="0074402A"/>
    <w:rsid w:val="00744104"/>
    <w:rsid w:val="00744D71"/>
    <w:rsid w:val="0074577D"/>
    <w:rsid w:val="00745B45"/>
    <w:rsid w:val="0074657B"/>
    <w:rsid w:val="007465A4"/>
    <w:rsid w:val="00746D9F"/>
    <w:rsid w:val="00750796"/>
    <w:rsid w:val="00751630"/>
    <w:rsid w:val="00751CF8"/>
    <w:rsid w:val="007520E2"/>
    <w:rsid w:val="007521E8"/>
    <w:rsid w:val="007524B4"/>
    <w:rsid w:val="00752C83"/>
    <w:rsid w:val="00752E19"/>
    <w:rsid w:val="00753646"/>
    <w:rsid w:val="007537D6"/>
    <w:rsid w:val="007539F5"/>
    <w:rsid w:val="00753CA2"/>
    <w:rsid w:val="00754538"/>
    <w:rsid w:val="007546AA"/>
    <w:rsid w:val="00756FE0"/>
    <w:rsid w:val="007574A5"/>
    <w:rsid w:val="00757BD6"/>
    <w:rsid w:val="00757D63"/>
    <w:rsid w:val="0076041D"/>
    <w:rsid w:val="00760911"/>
    <w:rsid w:val="00760D06"/>
    <w:rsid w:val="00761581"/>
    <w:rsid w:val="0076224F"/>
    <w:rsid w:val="0076339C"/>
    <w:rsid w:val="007633D8"/>
    <w:rsid w:val="0076341F"/>
    <w:rsid w:val="00764248"/>
    <w:rsid w:val="00764BF5"/>
    <w:rsid w:val="00764C9B"/>
    <w:rsid w:val="007652CA"/>
    <w:rsid w:val="0076640D"/>
    <w:rsid w:val="00766481"/>
    <w:rsid w:val="007669C9"/>
    <w:rsid w:val="007679AB"/>
    <w:rsid w:val="00770D4F"/>
    <w:rsid w:val="00770FB7"/>
    <w:rsid w:val="007718B7"/>
    <w:rsid w:val="00772C7A"/>
    <w:rsid w:val="0077318B"/>
    <w:rsid w:val="00773262"/>
    <w:rsid w:val="00773471"/>
    <w:rsid w:val="00773E64"/>
    <w:rsid w:val="007741E1"/>
    <w:rsid w:val="00774784"/>
    <w:rsid w:val="0077499A"/>
    <w:rsid w:val="00775A45"/>
    <w:rsid w:val="00775AF8"/>
    <w:rsid w:val="00775C24"/>
    <w:rsid w:val="00776072"/>
    <w:rsid w:val="00776564"/>
    <w:rsid w:val="00777977"/>
    <w:rsid w:val="00777C96"/>
    <w:rsid w:val="00777F8E"/>
    <w:rsid w:val="00780453"/>
    <w:rsid w:val="00780B65"/>
    <w:rsid w:val="00781CE5"/>
    <w:rsid w:val="00782D6B"/>
    <w:rsid w:val="007832C9"/>
    <w:rsid w:val="00784A93"/>
    <w:rsid w:val="00784B62"/>
    <w:rsid w:val="007850AE"/>
    <w:rsid w:val="0078656D"/>
    <w:rsid w:val="0078686E"/>
    <w:rsid w:val="00786CE5"/>
    <w:rsid w:val="00787216"/>
    <w:rsid w:val="00790307"/>
    <w:rsid w:val="00790E50"/>
    <w:rsid w:val="0079148F"/>
    <w:rsid w:val="0079160A"/>
    <w:rsid w:val="00791A8C"/>
    <w:rsid w:val="00791D3C"/>
    <w:rsid w:val="0079212E"/>
    <w:rsid w:val="00792C67"/>
    <w:rsid w:val="00792F39"/>
    <w:rsid w:val="0079520A"/>
    <w:rsid w:val="007957DC"/>
    <w:rsid w:val="0079582F"/>
    <w:rsid w:val="00796284"/>
    <w:rsid w:val="007A03F4"/>
    <w:rsid w:val="007A0DDB"/>
    <w:rsid w:val="007A1D06"/>
    <w:rsid w:val="007A2642"/>
    <w:rsid w:val="007A2929"/>
    <w:rsid w:val="007A39CD"/>
    <w:rsid w:val="007A4FDD"/>
    <w:rsid w:val="007A60AA"/>
    <w:rsid w:val="007A636B"/>
    <w:rsid w:val="007A736D"/>
    <w:rsid w:val="007A77F4"/>
    <w:rsid w:val="007A7C84"/>
    <w:rsid w:val="007A7F17"/>
    <w:rsid w:val="007B101E"/>
    <w:rsid w:val="007B1B9C"/>
    <w:rsid w:val="007B1BDB"/>
    <w:rsid w:val="007B1C54"/>
    <w:rsid w:val="007B2239"/>
    <w:rsid w:val="007B2A9D"/>
    <w:rsid w:val="007B3427"/>
    <w:rsid w:val="007B530B"/>
    <w:rsid w:val="007B5FE4"/>
    <w:rsid w:val="007B7FE8"/>
    <w:rsid w:val="007C1104"/>
    <w:rsid w:val="007C1307"/>
    <w:rsid w:val="007C14F1"/>
    <w:rsid w:val="007C1736"/>
    <w:rsid w:val="007C214D"/>
    <w:rsid w:val="007C291B"/>
    <w:rsid w:val="007C3275"/>
    <w:rsid w:val="007C3CBC"/>
    <w:rsid w:val="007C4198"/>
    <w:rsid w:val="007C43F9"/>
    <w:rsid w:val="007C463A"/>
    <w:rsid w:val="007C4731"/>
    <w:rsid w:val="007C5151"/>
    <w:rsid w:val="007C53BB"/>
    <w:rsid w:val="007C5790"/>
    <w:rsid w:val="007C708B"/>
    <w:rsid w:val="007C783D"/>
    <w:rsid w:val="007D0653"/>
    <w:rsid w:val="007D06A0"/>
    <w:rsid w:val="007D0E5D"/>
    <w:rsid w:val="007D0F61"/>
    <w:rsid w:val="007D135F"/>
    <w:rsid w:val="007D2A6B"/>
    <w:rsid w:val="007D37B2"/>
    <w:rsid w:val="007D38E8"/>
    <w:rsid w:val="007D51CF"/>
    <w:rsid w:val="007D5C9F"/>
    <w:rsid w:val="007D5D55"/>
    <w:rsid w:val="007D6071"/>
    <w:rsid w:val="007D653F"/>
    <w:rsid w:val="007D6E18"/>
    <w:rsid w:val="007D70EB"/>
    <w:rsid w:val="007D738D"/>
    <w:rsid w:val="007D7397"/>
    <w:rsid w:val="007D7404"/>
    <w:rsid w:val="007D7995"/>
    <w:rsid w:val="007E08E8"/>
    <w:rsid w:val="007E0B22"/>
    <w:rsid w:val="007E0B25"/>
    <w:rsid w:val="007E0BCD"/>
    <w:rsid w:val="007E0D93"/>
    <w:rsid w:val="007E144D"/>
    <w:rsid w:val="007E14FA"/>
    <w:rsid w:val="007E2468"/>
    <w:rsid w:val="007E24A6"/>
    <w:rsid w:val="007E3068"/>
    <w:rsid w:val="007E341F"/>
    <w:rsid w:val="007E38E9"/>
    <w:rsid w:val="007E39EA"/>
    <w:rsid w:val="007E3CE8"/>
    <w:rsid w:val="007E3D6F"/>
    <w:rsid w:val="007E405F"/>
    <w:rsid w:val="007E4399"/>
    <w:rsid w:val="007E453B"/>
    <w:rsid w:val="007E4594"/>
    <w:rsid w:val="007E4D3A"/>
    <w:rsid w:val="007E4DD0"/>
    <w:rsid w:val="007E5BA7"/>
    <w:rsid w:val="007E5CB6"/>
    <w:rsid w:val="007E604A"/>
    <w:rsid w:val="007E7555"/>
    <w:rsid w:val="007E7B19"/>
    <w:rsid w:val="007F0DA3"/>
    <w:rsid w:val="007F16E3"/>
    <w:rsid w:val="007F1F1E"/>
    <w:rsid w:val="007F222B"/>
    <w:rsid w:val="007F29E1"/>
    <w:rsid w:val="007F39B5"/>
    <w:rsid w:val="007F5117"/>
    <w:rsid w:val="007F5636"/>
    <w:rsid w:val="007F5723"/>
    <w:rsid w:val="007F5A63"/>
    <w:rsid w:val="007F611C"/>
    <w:rsid w:val="007F661B"/>
    <w:rsid w:val="00800047"/>
    <w:rsid w:val="0080028D"/>
    <w:rsid w:val="00800562"/>
    <w:rsid w:val="00800FBD"/>
    <w:rsid w:val="00801F8A"/>
    <w:rsid w:val="008023A4"/>
    <w:rsid w:val="008023F0"/>
    <w:rsid w:val="00802791"/>
    <w:rsid w:val="00802924"/>
    <w:rsid w:val="00802FB4"/>
    <w:rsid w:val="008034E6"/>
    <w:rsid w:val="008039DD"/>
    <w:rsid w:val="0080499C"/>
    <w:rsid w:val="00804C06"/>
    <w:rsid w:val="008062FE"/>
    <w:rsid w:val="00806580"/>
    <w:rsid w:val="00806C7C"/>
    <w:rsid w:val="008076FB"/>
    <w:rsid w:val="00807D13"/>
    <w:rsid w:val="0081006A"/>
    <w:rsid w:val="00810483"/>
    <w:rsid w:val="00810675"/>
    <w:rsid w:val="00810842"/>
    <w:rsid w:val="00810AEA"/>
    <w:rsid w:val="00810D84"/>
    <w:rsid w:val="00811918"/>
    <w:rsid w:val="008129CA"/>
    <w:rsid w:val="0081354F"/>
    <w:rsid w:val="0081374E"/>
    <w:rsid w:val="00813816"/>
    <w:rsid w:val="0081399C"/>
    <w:rsid w:val="00813AC5"/>
    <w:rsid w:val="008142BE"/>
    <w:rsid w:val="0081558C"/>
    <w:rsid w:val="00816066"/>
    <w:rsid w:val="00816692"/>
    <w:rsid w:val="00816A5F"/>
    <w:rsid w:val="00816B74"/>
    <w:rsid w:val="0081706E"/>
    <w:rsid w:val="00817A1C"/>
    <w:rsid w:val="00817E83"/>
    <w:rsid w:val="00817F74"/>
    <w:rsid w:val="008204EF"/>
    <w:rsid w:val="00820D6A"/>
    <w:rsid w:val="00821977"/>
    <w:rsid w:val="00821E8D"/>
    <w:rsid w:val="008222F0"/>
    <w:rsid w:val="008223E1"/>
    <w:rsid w:val="0082342B"/>
    <w:rsid w:val="008235CD"/>
    <w:rsid w:val="008236C8"/>
    <w:rsid w:val="008237C0"/>
    <w:rsid w:val="008246BB"/>
    <w:rsid w:val="008250D4"/>
    <w:rsid w:val="008252A4"/>
    <w:rsid w:val="00825C44"/>
    <w:rsid w:val="00825D10"/>
    <w:rsid w:val="008266ED"/>
    <w:rsid w:val="00826ABE"/>
    <w:rsid w:val="008309A3"/>
    <w:rsid w:val="00831057"/>
    <w:rsid w:val="008311DF"/>
    <w:rsid w:val="00831D44"/>
    <w:rsid w:val="00833433"/>
    <w:rsid w:val="008340CE"/>
    <w:rsid w:val="0083424B"/>
    <w:rsid w:val="00834E2D"/>
    <w:rsid w:val="00836522"/>
    <w:rsid w:val="00841032"/>
    <w:rsid w:val="008410F2"/>
    <w:rsid w:val="008413D1"/>
    <w:rsid w:val="0084175D"/>
    <w:rsid w:val="008419F7"/>
    <w:rsid w:val="0084225A"/>
    <w:rsid w:val="008425A1"/>
    <w:rsid w:val="0084356C"/>
    <w:rsid w:val="00843B9E"/>
    <w:rsid w:val="00843D0E"/>
    <w:rsid w:val="008440A5"/>
    <w:rsid w:val="00844F74"/>
    <w:rsid w:val="008452C3"/>
    <w:rsid w:val="00845525"/>
    <w:rsid w:val="00845B50"/>
    <w:rsid w:val="00845D5B"/>
    <w:rsid w:val="008465F7"/>
    <w:rsid w:val="00846B88"/>
    <w:rsid w:val="00846BC4"/>
    <w:rsid w:val="0084756D"/>
    <w:rsid w:val="00850AD3"/>
    <w:rsid w:val="0085165D"/>
    <w:rsid w:val="008516F3"/>
    <w:rsid w:val="0085355C"/>
    <w:rsid w:val="008542C9"/>
    <w:rsid w:val="00854718"/>
    <w:rsid w:val="00854B9A"/>
    <w:rsid w:val="008552EC"/>
    <w:rsid w:val="00856693"/>
    <w:rsid w:val="00856E8D"/>
    <w:rsid w:val="00857519"/>
    <w:rsid w:val="00860A88"/>
    <w:rsid w:val="00861E68"/>
    <w:rsid w:val="00862973"/>
    <w:rsid w:val="00862F22"/>
    <w:rsid w:val="00863AA2"/>
    <w:rsid w:val="0086492F"/>
    <w:rsid w:val="00864C52"/>
    <w:rsid w:val="0086592D"/>
    <w:rsid w:val="00866835"/>
    <w:rsid w:val="00866FC7"/>
    <w:rsid w:val="008674A0"/>
    <w:rsid w:val="00870FD7"/>
    <w:rsid w:val="008732BE"/>
    <w:rsid w:val="00873427"/>
    <w:rsid w:val="00873FBC"/>
    <w:rsid w:val="008740A1"/>
    <w:rsid w:val="00874421"/>
    <w:rsid w:val="0087457F"/>
    <w:rsid w:val="008746A6"/>
    <w:rsid w:val="00874BE9"/>
    <w:rsid w:val="00874D54"/>
    <w:rsid w:val="0087517F"/>
    <w:rsid w:val="0087524B"/>
    <w:rsid w:val="008754E3"/>
    <w:rsid w:val="008760C8"/>
    <w:rsid w:val="008776C1"/>
    <w:rsid w:val="008812A0"/>
    <w:rsid w:val="0088240F"/>
    <w:rsid w:val="00882E67"/>
    <w:rsid w:val="008833CA"/>
    <w:rsid w:val="0088343E"/>
    <w:rsid w:val="00883798"/>
    <w:rsid w:val="00884311"/>
    <w:rsid w:val="0088487E"/>
    <w:rsid w:val="008857C8"/>
    <w:rsid w:val="00885830"/>
    <w:rsid w:val="00886040"/>
    <w:rsid w:val="00887B62"/>
    <w:rsid w:val="0089032B"/>
    <w:rsid w:val="00890BBA"/>
    <w:rsid w:val="00890DB8"/>
    <w:rsid w:val="00891071"/>
    <w:rsid w:val="00891081"/>
    <w:rsid w:val="00891577"/>
    <w:rsid w:val="00892945"/>
    <w:rsid w:val="00892BCA"/>
    <w:rsid w:val="008935F0"/>
    <w:rsid w:val="008942B5"/>
    <w:rsid w:val="00894F72"/>
    <w:rsid w:val="00895D6D"/>
    <w:rsid w:val="00895EB7"/>
    <w:rsid w:val="0089615F"/>
    <w:rsid w:val="00896B5B"/>
    <w:rsid w:val="00897463"/>
    <w:rsid w:val="008A0E95"/>
    <w:rsid w:val="008A2C8F"/>
    <w:rsid w:val="008A2CFB"/>
    <w:rsid w:val="008A38B4"/>
    <w:rsid w:val="008A3A7D"/>
    <w:rsid w:val="008A3AF4"/>
    <w:rsid w:val="008A4144"/>
    <w:rsid w:val="008A4B34"/>
    <w:rsid w:val="008A52E2"/>
    <w:rsid w:val="008A62FB"/>
    <w:rsid w:val="008A66F4"/>
    <w:rsid w:val="008A6D80"/>
    <w:rsid w:val="008A7279"/>
    <w:rsid w:val="008A750A"/>
    <w:rsid w:val="008B0366"/>
    <w:rsid w:val="008B05BE"/>
    <w:rsid w:val="008B0D64"/>
    <w:rsid w:val="008B13D0"/>
    <w:rsid w:val="008B2323"/>
    <w:rsid w:val="008B33CF"/>
    <w:rsid w:val="008B358B"/>
    <w:rsid w:val="008B39E4"/>
    <w:rsid w:val="008B4435"/>
    <w:rsid w:val="008B450C"/>
    <w:rsid w:val="008B4D19"/>
    <w:rsid w:val="008B50A5"/>
    <w:rsid w:val="008B5288"/>
    <w:rsid w:val="008B52A1"/>
    <w:rsid w:val="008B52F3"/>
    <w:rsid w:val="008B5397"/>
    <w:rsid w:val="008B583D"/>
    <w:rsid w:val="008B5AA4"/>
    <w:rsid w:val="008B643F"/>
    <w:rsid w:val="008B7147"/>
    <w:rsid w:val="008B7174"/>
    <w:rsid w:val="008B7805"/>
    <w:rsid w:val="008B7B66"/>
    <w:rsid w:val="008B7E91"/>
    <w:rsid w:val="008C02EF"/>
    <w:rsid w:val="008C0AA9"/>
    <w:rsid w:val="008C0C54"/>
    <w:rsid w:val="008C32E5"/>
    <w:rsid w:val="008C3707"/>
    <w:rsid w:val="008C3CAE"/>
    <w:rsid w:val="008C3D8D"/>
    <w:rsid w:val="008C46F7"/>
    <w:rsid w:val="008C52BF"/>
    <w:rsid w:val="008C5714"/>
    <w:rsid w:val="008C608C"/>
    <w:rsid w:val="008C6BC6"/>
    <w:rsid w:val="008C7281"/>
    <w:rsid w:val="008C7864"/>
    <w:rsid w:val="008C793E"/>
    <w:rsid w:val="008D11F3"/>
    <w:rsid w:val="008D23B5"/>
    <w:rsid w:val="008D2622"/>
    <w:rsid w:val="008D2E87"/>
    <w:rsid w:val="008D3F79"/>
    <w:rsid w:val="008D6614"/>
    <w:rsid w:val="008D6FF9"/>
    <w:rsid w:val="008D75F9"/>
    <w:rsid w:val="008D79DB"/>
    <w:rsid w:val="008D7F0B"/>
    <w:rsid w:val="008E02A1"/>
    <w:rsid w:val="008E0350"/>
    <w:rsid w:val="008E1742"/>
    <w:rsid w:val="008E1CE4"/>
    <w:rsid w:val="008E21DB"/>
    <w:rsid w:val="008E3ADC"/>
    <w:rsid w:val="008E44EF"/>
    <w:rsid w:val="008E5085"/>
    <w:rsid w:val="008E5237"/>
    <w:rsid w:val="008E64E2"/>
    <w:rsid w:val="008E6EEE"/>
    <w:rsid w:val="008E72D3"/>
    <w:rsid w:val="008E7648"/>
    <w:rsid w:val="008F06AB"/>
    <w:rsid w:val="008F06EC"/>
    <w:rsid w:val="008F2536"/>
    <w:rsid w:val="008F2944"/>
    <w:rsid w:val="008F2A03"/>
    <w:rsid w:val="008F2AF0"/>
    <w:rsid w:val="008F3728"/>
    <w:rsid w:val="008F3849"/>
    <w:rsid w:val="008F3F27"/>
    <w:rsid w:val="008F4EA1"/>
    <w:rsid w:val="008F5231"/>
    <w:rsid w:val="008F564A"/>
    <w:rsid w:val="008F67D2"/>
    <w:rsid w:val="008F6B05"/>
    <w:rsid w:val="008F6B6D"/>
    <w:rsid w:val="008F6BBC"/>
    <w:rsid w:val="008F737C"/>
    <w:rsid w:val="008F73C8"/>
    <w:rsid w:val="008F75C4"/>
    <w:rsid w:val="008F7DA7"/>
    <w:rsid w:val="009015EF"/>
    <w:rsid w:val="009019E2"/>
    <w:rsid w:val="00902005"/>
    <w:rsid w:val="00902B47"/>
    <w:rsid w:val="00902CB1"/>
    <w:rsid w:val="00903113"/>
    <w:rsid w:val="00903163"/>
    <w:rsid w:val="0090329D"/>
    <w:rsid w:val="0090399C"/>
    <w:rsid w:val="00903B41"/>
    <w:rsid w:val="009046E8"/>
    <w:rsid w:val="00904A91"/>
    <w:rsid w:val="009050FB"/>
    <w:rsid w:val="00905EFE"/>
    <w:rsid w:val="00906B0B"/>
    <w:rsid w:val="00906EF3"/>
    <w:rsid w:val="00907023"/>
    <w:rsid w:val="00907054"/>
    <w:rsid w:val="0090711F"/>
    <w:rsid w:val="0091077F"/>
    <w:rsid w:val="00910D14"/>
    <w:rsid w:val="009114FB"/>
    <w:rsid w:val="009122AF"/>
    <w:rsid w:val="00913FE0"/>
    <w:rsid w:val="00914C81"/>
    <w:rsid w:val="00914E9C"/>
    <w:rsid w:val="0091522B"/>
    <w:rsid w:val="00915B13"/>
    <w:rsid w:val="00916564"/>
    <w:rsid w:val="0091692F"/>
    <w:rsid w:val="00916AC9"/>
    <w:rsid w:val="00916D43"/>
    <w:rsid w:val="00917893"/>
    <w:rsid w:val="00920CF2"/>
    <w:rsid w:val="00922192"/>
    <w:rsid w:val="0092334A"/>
    <w:rsid w:val="0092339B"/>
    <w:rsid w:val="00925535"/>
    <w:rsid w:val="00925650"/>
    <w:rsid w:val="00926018"/>
    <w:rsid w:val="009263F9"/>
    <w:rsid w:val="00926799"/>
    <w:rsid w:val="00927323"/>
    <w:rsid w:val="009276D4"/>
    <w:rsid w:val="00927D25"/>
    <w:rsid w:val="0093119D"/>
    <w:rsid w:val="009316DC"/>
    <w:rsid w:val="00931A5C"/>
    <w:rsid w:val="00931B74"/>
    <w:rsid w:val="00931CEE"/>
    <w:rsid w:val="009336A4"/>
    <w:rsid w:val="0093383A"/>
    <w:rsid w:val="00933E86"/>
    <w:rsid w:val="00933EAF"/>
    <w:rsid w:val="009349B9"/>
    <w:rsid w:val="00934A08"/>
    <w:rsid w:val="00935F84"/>
    <w:rsid w:val="00936E6D"/>
    <w:rsid w:val="00937EE4"/>
    <w:rsid w:val="009407A0"/>
    <w:rsid w:val="00940DD8"/>
    <w:rsid w:val="009410A4"/>
    <w:rsid w:val="0094112B"/>
    <w:rsid w:val="00941166"/>
    <w:rsid w:val="00941755"/>
    <w:rsid w:val="00941892"/>
    <w:rsid w:val="00942CC2"/>
    <w:rsid w:val="009433AC"/>
    <w:rsid w:val="00944B3F"/>
    <w:rsid w:val="00944FCB"/>
    <w:rsid w:val="00945AA8"/>
    <w:rsid w:val="0094606F"/>
    <w:rsid w:val="00946D70"/>
    <w:rsid w:val="00947407"/>
    <w:rsid w:val="00947E20"/>
    <w:rsid w:val="00947E72"/>
    <w:rsid w:val="0095005E"/>
    <w:rsid w:val="00950254"/>
    <w:rsid w:val="00950831"/>
    <w:rsid w:val="00950BEC"/>
    <w:rsid w:val="0095181A"/>
    <w:rsid w:val="00951A4C"/>
    <w:rsid w:val="00952255"/>
    <w:rsid w:val="00952C61"/>
    <w:rsid w:val="00953485"/>
    <w:rsid w:val="0095457F"/>
    <w:rsid w:val="00955437"/>
    <w:rsid w:val="0095558B"/>
    <w:rsid w:val="0095598B"/>
    <w:rsid w:val="009565B2"/>
    <w:rsid w:val="00956CC0"/>
    <w:rsid w:val="00957276"/>
    <w:rsid w:val="00957B6F"/>
    <w:rsid w:val="0096094E"/>
    <w:rsid w:val="00960D52"/>
    <w:rsid w:val="00960E53"/>
    <w:rsid w:val="00960ED6"/>
    <w:rsid w:val="00960EE2"/>
    <w:rsid w:val="009622D2"/>
    <w:rsid w:val="0096258A"/>
    <w:rsid w:val="00962AC7"/>
    <w:rsid w:val="00963565"/>
    <w:rsid w:val="00963F16"/>
    <w:rsid w:val="0096486B"/>
    <w:rsid w:val="009649C1"/>
    <w:rsid w:val="00964B25"/>
    <w:rsid w:val="00964B9F"/>
    <w:rsid w:val="00964E3B"/>
    <w:rsid w:val="00965CB1"/>
    <w:rsid w:val="0096610A"/>
    <w:rsid w:val="00966AC7"/>
    <w:rsid w:val="00966B23"/>
    <w:rsid w:val="00967B69"/>
    <w:rsid w:val="00967BBF"/>
    <w:rsid w:val="00967E3E"/>
    <w:rsid w:val="00967EAF"/>
    <w:rsid w:val="009701C4"/>
    <w:rsid w:val="00971559"/>
    <w:rsid w:val="00971708"/>
    <w:rsid w:val="00971995"/>
    <w:rsid w:val="00971DD8"/>
    <w:rsid w:val="0097230F"/>
    <w:rsid w:val="009726CC"/>
    <w:rsid w:val="00972949"/>
    <w:rsid w:val="00973724"/>
    <w:rsid w:val="009743AD"/>
    <w:rsid w:val="00974416"/>
    <w:rsid w:val="00974465"/>
    <w:rsid w:val="00975092"/>
    <w:rsid w:val="00975F92"/>
    <w:rsid w:val="0097674D"/>
    <w:rsid w:val="00976ABA"/>
    <w:rsid w:val="00976E7F"/>
    <w:rsid w:val="00977363"/>
    <w:rsid w:val="00977E2C"/>
    <w:rsid w:val="00980719"/>
    <w:rsid w:val="00980B98"/>
    <w:rsid w:val="00980C9D"/>
    <w:rsid w:val="009824CE"/>
    <w:rsid w:val="00983543"/>
    <w:rsid w:val="00983F42"/>
    <w:rsid w:val="0098477A"/>
    <w:rsid w:val="00984BEB"/>
    <w:rsid w:val="00984C9E"/>
    <w:rsid w:val="00985634"/>
    <w:rsid w:val="00985827"/>
    <w:rsid w:val="00986744"/>
    <w:rsid w:val="009867B7"/>
    <w:rsid w:val="00986827"/>
    <w:rsid w:val="00987BFF"/>
    <w:rsid w:val="00990076"/>
    <w:rsid w:val="00990539"/>
    <w:rsid w:val="009908CD"/>
    <w:rsid w:val="00990C03"/>
    <w:rsid w:val="00990E1D"/>
    <w:rsid w:val="00990FD9"/>
    <w:rsid w:val="00991144"/>
    <w:rsid w:val="00991337"/>
    <w:rsid w:val="00992A69"/>
    <w:rsid w:val="00993CD1"/>
    <w:rsid w:val="009947EE"/>
    <w:rsid w:val="00994E2F"/>
    <w:rsid w:val="009950B8"/>
    <w:rsid w:val="00995596"/>
    <w:rsid w:val="00995B11"/>
    <w:rsid w:val="009967DA"/>
    <w:rsid w:val="0099684B"/>
    <w:rsid w:val="00996895"/>
    <w:rsid w:val="00996EFA"/>
    <w:rsid w:val="00997106"/>
    <w:rsid w:val="009971C9"/>
    <w:rsid w:val="009A0AE5"/>
    <w:rsid w:val="009A0E5C"/>
    <w:rsid w:val="009A174A"/>
    <w:rsid w:val="009A1817"/>
    <w:rsid w:val="009A1E60"/>
    <w:rsid w:val="009A1EED"/>
    <w:rsid w:val="009A2A6D"/>
    <w:rsid w:val="009A3FE4"/>
    <w:rsid w:val="009A6ACA"/>
    <w:rsid w:val="009A713A"/>
    <w:rsid w:val="009A73FC"/>
    <w:rsid w:val="009A751A"/>
    <w:rsid w:val="009A776E"/>
    <w:rsid w:val="009A77E4"/>
    <w:rsid w:val="009B009D"/>
    <w:rsid w:val="009B0178"/>
    <w:rsid w:val="009B0B7C"/>
    <w:rsid w:val="009B2709"/>
    <w:rsid w:val="009B27B2"/>
    <w:rsid w:val="009B3575"/>
    <w:rsid w:val="009B3A58"/>
    <w:rsid w:val="009B3D58"/>
    <w:rsid w:val="009B3F38"/>
    <w:rsid w:val="009B43E7"/>
    <w:rsid w:val="009B44AF"/>
    <w:rsid w:val="009B5F8F"/>
    <w:rsid w:val="009B5FAC"/>
    <w:rsid w:val="009B6057"/>
    <w:rsid w:val="009B6AD9"/>
    <w:rsid w:val="009B7274"/>
    <w:rsid w:val="009B79C3"/>
    <w:rsid w:val="009B7D0A"/>
    <w:rsid w:val="009C0999"/>
    <w:rsid w:val="009C0F0C"/>
    <w:rsid w:val="009C12B2"/>
    <w:rsid w:val="009C248A"/>
    <w:rsid w:val="009C2498"/>
    <w:rsid w:val="009C26C6"/>
    <w:rsid w:val="009C272F"/>
    <w:rsid w:val="009C2985"/>
    <w:rsid w:val="009C2ABC"/>
    <w:rsid w:val="009C3D9B"/>
    <w:rsid w:val="009C48E0"/>
    <w:rsid w:val="009C5301"/>
    <w:rsid w:val="009C55C9"/>
    <w:rsid w:val="009C595D"/>
    <w:rsid w:val="009C5A6A"/>
    <w:rsid w:val="009D023F"/>
    <w:rsid w:val="009D14D4"/>
    <w:rsid w:val="009D1C68"/>
    <w:rsid w:val="009D36B5"/>
    <w:rsid w:val="009D3C34"/>
    <w:rsid w:val="009D3EE2"/>
    <w:rsid w:val="009D6046"/>
    <w:rsid w:val="009D633D"/>
    <w:rsid w:val="009D6B9C"/>
    <w:rsid w:val="009D6E6D"/>
    <w:rsid w:val="009D7809"/>
    <w:rsid w:val="009E095B"/>
    <w:rsid w:val="009E0A34"/>
    <w:rsid w:val="009E0A66"/>
    <w:rsid w:val="009E0A76"/>
    <w:rsid w:val="009E1662"/>
    <w:rsid w:val="009E1BDB"/>
    <w:rsid w:val="009E2006"/>
    <w:rsid w:val="009E2AAE"/>
    <w:rsid w:val="009E3B9D"/>
    <w:rsid w:val="009E47B5"/>
    <w:rsid w:val="009E4E50"/>
    <w:rsid w:val="009E5703"/>
    <w:rsid w:val="009E5B80"/>
    <w:rsid w:val="009E5EAC"/>
    <w:rsid w:val="009E68A1"/>
    <w:rsid w:val="009E6D7D"/>
    <w:rsid w:val="009E7F79"/>
    <w:rsid w:val="009F02DE"/>
    <w:rsid w:val="009F06B4"/>
    <w:rsid w:val="009F1013"/>
    <w:rsid w:val="009F1611"/>
    <w:rsid w:val="009F1736"/>
    <w:rsid w:val="009F327F"/>
    <w:rsid w:val="009F34B0"/>
    <w:rsid w:val="009F41C6"/>
    <w:rsid w:val="009F4F20"/>
    <w:rsid w:val="009F51BE"/>
    <w:rsid w:val="009F5396"/>
    <w:rsid w:val="009F5F36"/>
    <w:rsid w:val="009F678D"/>
    <w:rsid w:val="009F6E5E"/>
    <w:rsid w:val="009F6FF4"/>
    <w:rsid w:val="009F7A4B"/>
    <w:rsid w:val="009F7BCB"/>
    <w:rsid w:val="009F7E00"/>
    <w:rsid w:val="00A00C2E"/>
    <w:rsid w:val="00A00D1D"/>
    <w:rsid w:val="00A01742"/>
    <w:rsid w:val="00A020B1"/>
    <w:rsid w:val="00A02263"/>
    <w:rsid w:val="00A02314"/>
    <w:rsid w:val="00A02557"/>
    <w:rsid w:val="00A02C14"/>
    <w:rsid w:val="00A02F82"/>
    <w:rsid w:val="00A0398A"/>
    <w:rsid w:val="00A039D6"/>
    <w:rsid w:val="00A05216"/>
    <w:rsid w:val="00A05333"/>
    <w:rsid w:val="00A05382"/>
    <w:rsid w:val="00A061C2"/>
    <w:rsid w:val="00A06B27"/>
    <w:rsid w:val="00A06F28"/>
    <w:rsid w:val="00A071BD"/>
    <w:rsid w:val="00A075F0"/>
    <w:rsid w:val="00A07626"/>
    <w:rsid w:val="00A07A10"/>
    <w:rsid w:val="00A07F16"/>
    <w:rsid w:val="00A1055A"/>
    <w:rsid w:val="00A10997"/>
    <w:rsid w:val="00A10E9C"/>
    <w:rsid w:val="00A11167"/>
    <w:rsid w:val="00A11C7D"/>
    <w:rsid w:val="00A11EC3"/>
    <w:rsid w:val="00A11FD8"/>
    <w:rsid w:val="00A1235C"/>
    <w:rsid w:val="00A13617"/>
    <w:rsid w:val="00A13BA7"/>
    <w:rsid w:val="00A13C4D"/>
    <w:rsid w:val="00A13C58"/>
    <w:rsid w:val="00A14246"/>
    <w:rsid w:val="00A14C4D"/>
    <w:rsid w:val="00A15AAB"/>
    <w:rsid w:val="00A15D24"/>
    <w:rsid w:val="00A162B7"/>
    <w:rsid w:val="00A167E7"/>
    <w:rsid w:val="00A16BA0"/>
    <w:rsid w:val="00A17665"/>
    <w:rsid w:val="00A20C30"/>
    <w:rsid w:val="00A2131B"/>
    <w:rsid w:val="00A21455"/>
    <w:rsid w:val="00A217CD"/>
    <w:rsid w:val="00A23527"/>
    <w:rsid w:val="00A23843"/>
    <w:rsid w:val="00A24086"/>
    <w:rsid w:val="00A2423C"/>
    <w:rsid w:val="00A24AD6"/>
    <w:rsid w:val="00A24B75"/>
    <w:rsid w:val="00A250C5"/>
    <w:rsid w:val="00A25222"/>
    <w:rsid w:val="00A2541C"/>
    <w:rsid w:val="00A26C32"/>
    <w:rsid w:val="00A26F5B"/>
    <w:rsid w:val="00A2718F"/>
    <w:rsid w:val="00A3002E"/>
    <w:rsid w:val="00A3102A"/>
    <w:rsid w:val="00A31952"/>
    <w:rsid w:val="00A31B43"/>
    <w:rsid w:val="00A32679"/>
    <w:rsid w:val="00A328CF"/>
    <w:rsid w:val="00A32D87"/>
    <w:rsid w:val="00A33454"/>
    <w:rsid w:val="00A34992"/>
    <w:rsid w:val="00A34EA7"/>
    <w:rsid w:val="00A3584D"/>
    <w:rsid w:val="00A3646C"/>
    <w:rsid w:val="00A365D2"/>
    <w:rsid w:val="00A36D3D"/>
    <w:rsid w:val="00A37605"/>
    <w:rsid w:val="00A3771E"/>
    <w:rsid w:val="00A40F04"/>
    <w:rsid w:val="00A41294"/>
    <w:rsid w:val="00A4131D"/>
    <w:rsid w:val="00A416DA"/>
    <w:rsid w:val="00A429BE"/>
    <w:rsid w:val="00A42AF7"/>
    <w:rsid w:val="00A42CE7"/>
    <w:rsid w:val="00A4311C"/>
    <w:rsid w:val="00A4324A"/>
    <w:rsid w:val="00A4326C"/>
    <w:rsid w:val="00A43ADD"/>
    <w:rsid w:val="00A4464F"/>
    <w:rsid w:val="00A4499A"/>
    <w:rsid w:val="00A44B36"/>
    <w:rsid w:val="00A44E52"/>
    <w:rsid w:val="00A454DD"/>
    <w:rsid w:val="00A465EF"/>
    <w:rsid w:val="00A469C8"/>
    <w:rsid w:val="00A46F90"/>
    <w:rsid w:val="00A50002"/>
    <w:rsid w:val="00A502D2"/>
    <w:rsid w:val="00A50DEE"/>
    <w:rsid w:val="00A515E0"/>
    <w:rsid w:val="00A522EE"/>
    <w:rsid w:val="00A523E5"/>
    <w:rsid w:val="00A52944"/>
    <w:rsid w:val="00A52FB3"/>
    <w:rsid w:val="00A5314B"/>
    <w:rsid w:val="00A53B01"/>
    <w:rsid w:val="00A54069"/>
    <w:rsid w:val="00A55748"/>
    <w:rsid w:val="00A557ED"/>
    <w:rsid w:val="00A56E24"/>
    <w:rsid w:val="00A5757B"/>
    <w:rsid w:val="00A60D6B"/>
    <w:rsid w:val="00A6155A"/>
    <w:rsid w:val="00A61F76"/>
    <w:rsid w:val="00A62B9A"/>
    <w:rsid w:val="00A633BF"/>
    <w:rsid w:val="00A6393B"/>
    <w:rsid w:val="00A64CEE"/>
    <w:rsid w:val="00A64D54"/>
    <w:rsid w:val="00A64EAC"/>
    <w:rsid w:val="00A6547A"/>
    <w:rsid w:val="00A656D2"/>
    <w:rsid w:val="00A65C5F"/>
    <w:rsid w:val="00A661B1"/>
    <w:rsid w:val="00A661FF"/>
    <w:rsid w:val="00A66A06"/>
    <w:rsid w:val="00A66D99"/>
    <w:rsid w:val="00A67FBA"/>
    <w:rsid w:val="00A70944"/>
    <w:rsid w:val="00A72FBC"/>
    <w:rsid w:val="00A73FC2"/>
    <w:rsid w:val="00A74E9B"/>
    <w:rsid w:val="00A74F18"/>
    <w:rsid w:val="00A75C9C"/>
    <w:rsid w:val="00A7655C"/>
    <w:rsid w:val="00A76765"/>
    <w:rsid w:val="00A76DEC"/>
    <w:rsid w:val="00A779E2"/>
    <w:rsid w:val="00A77E10"/>
    <w:rsid w:val="00A8072F"/>
    <w:rsid w:val="00A80945"/>
    <w:rsid w:val="00A81928"/>
    <w:rsid w:val="00A8265D"/>
    <w:rsid w:val="00A832B5"/>
    <w:rsid w:val="00A8391D"/>
    <w:rsid w:val="00A83EE6"/>
    <w:rsid w:val="00A83FD0"/>
    <w:rsid w:val="00A84934"/>
    <w:rsid w:val="00A849E9"/>
    <w:rsid w:val="00A84C5B"/>
    <w:rsid w:val="00A85229"/>
    <w:rsid w:val="00A85472"/>
    <w:rsid w:val="00A85817"/>
    <w:rsid w:val="00A8615A"/>
    <w:rsid w:val="00A87777"/>
    <w:rsid w:val="00A90448"/>
    <w:rsid w:val="00A90A90"/>
    <w:rsid w:val="00A90CE0"/>
    <w:rsid w:val="00A910B0"/>
    <w:rsid w:val="00A92889"/>
    <w:rsid w:val="00A92D6C"/>
    <w:rsid w:val="00A92F61"/>
    <w:rsid w:val="00A935C0"/>
    <w:rsid w:val="00A94C2E"/>
    <w:rsid w:val="00A94C68"/>
    <w:rsid w:val="00A95404"/>
    <w:rsid w:val="00A95453"/>
    <w:rsid w:val="00A95C29"/>
    <w:rsid w:val="00A963F9"/>
    <w:rsid w:val="00A96598"/>
    <w:rsid w:val="00A96642"/>
    <w:rsid w:val="00A96D67"/>
    <w:rsid w:val="00A972C9"/>
    <w:rsid w:val="00A97B3D"/>
    <w:rsid w:val="00A97F3C"/>
    <w:rsid w:val="00AA0034"/>
    <w:rsid w:val="00AA02BE"/>
    <w:rsid w:val="00AA030A"/>
    <w:rsid w:val="00AA08AF"/>
    <w:rsid w:val="00AA1019"/>
    <w:rsid w:val="00AA1DD6"/>
    <w:rsid w:val="00AA230E"/>
    <w:rsid w:val="00AA250F"/>
    <w:rsid w:val="00AA2E74"/>
    <w:rsid w:val="00AA2EAD"/>
    <w:rsid w:val="00AA31A1"/>
    <w:rsid w:val="00AA31D5"/>
    <w:rsid w:val="00AA3FE1"/>
    <w:rsid w:val="00AA43B9"/>
    <w:rsid w:val="00AA5215"/>
    <w:rsid w:val="00AA5729"/>
    <w:rsid w:val="00AA669F"/>
    <w:rsid w:val="00AA66EC"/>
    <w:rsid w:val="00AA70B6"/>
    <w:rsid w:val="00AB030D"/>
    <w:rsid w:val="00AB034B"/>
    <w:rsid w:val="00AB1D04"/>
    <w:rsid w:val="00AB3CF6"/>
    <w:rsid w:val="00AB3D7B"/>
    <w:rsid w:val="00AB4BDE"/>
    <w:rsid w:val="00AB4D48"/>
    <w:rsid w:val="00AB5576"/>
    <w:rsid w:val="00AB63DD"/>
    <w:rsid w:val="00AB6858"/>
    <w:rsid w:val="00AB6D0E"/>
    <w:rsid w:val="00AB6F76"/>
    <w:rsid w:val="00AC01BF"/>
    <w:rsid w:val="00AC05D5"/>
    <w:rsid w:val="00AC06E5"/>
    <w:rsid w:val="00AC09C1"/>
    <w:rsid w:val="00AC0DC0"/>
    <w:rsid w:val="00AC0EA3"/>
    <w:rsid w:val="00AC10A4"/>
    <w:rsid w:val="00AC1258"/>
    <w:rsid w:val="00AC1879"/>
    <w:rsid w:val="00AC1E33"/>
    <w:rsid w:val="00AC2FEF"/>
    <w:rsid w:val="00AC3713"/>
    <w:rsid w:val="00AC3EDD"/>
    <w:rsid w:val="00AC5038"/>
    <w:rsid w:val="00AC55B1"/>
    <w:rsid w:val="00AC57E8"/>
    <w:rsid w:val="00AC5EB4"/>
    <w:rsid w:val="00AC6866"/>
    <w:rsid w:val="00AC7E42"/>
    <w:rsid w:val="00AD1FA0"/>
    <w:rsid w:val="00AD2258"/>
    <w:rsid w:val="00AD32D5"/>
    <w:rsid w:val="00AD3698"/>
    <w:rsid w:val="00AD3B80"/>
    <w:rsid w:val="00AD3C80"/>
    <w:rsid w:val="00AD3F78"/>
    <w:rsid w:val="00AD41CC"/>
    <w:rsid w:val="00AD44E1"/>
    <w:rsid w:val="00AD5EE0"/>
    <w:rsid w:val="00AD6BAE"/>
    <w:rsid w:val="00AD7217"/>
    <w:rsid w:val="00AD7852"/>
    <w:rsid w:val="00AD7CA2"/>
    <w:rsid w:val="00AE004A"/>
    <w:rsid w:val="00AE052C"/>
    <w:rsid w:val="00AE0A60"/>
    <w:rsid w:val="00AE0B05"/>
    <w:rsid w:val="00AE0B6C"/>
    <w:rsid w:val="00AE146E"/>
    <w:rsid w:val="00AE1E1D"/>
    <w:rsid w:val="00AE225E"/>
    <w:rsid w:val="00AE2322"/>
    <w:rsid w:val="00AE32CE"/>
    <w:rsid w:val="00AE3532"/>
    <w:rsid w:val="00AE3998"/>
    <w:rsid w:val="00AE3A8F"/>
    <w:rsid w:val="00AE41DC"/>
    <w:rsid w:val="00AE48FE"/>
    <w:rsid w:val="00AE4C83"/>
    <w:rsid w:val="00AE5247"/>
    <w:rsid w:val="00AE68C4"/>
    <w:rsid w:val="00AE7D08"/>
    <w:rsid w:val="00AE7DE8"/>
    <w:rsid w:val="00AF09D2"/>
    <w:rsid w:val="00AF1810"/>
    <w:rsid w:val="00AF18E7"/>
    <w:rsid w:val="00AF1DED"/>
    <w:rsid w:val="00AF200D"/>
    <w:rsid w:val="00AF285E"/>
    <w:rsid w:val="00AF2D6C"/>
    <w:rsid w:val="00AF3039"/>
    <w:rsid w:val="00AF3068"/>
    <w:rsid w:val="00AF36CD"/>
    <w:rsid w:val="00AF378F"/>
    <w:rsid w:val="00AF397D"/>
    <w:rsid w:val="00AF3E3E"/>
    <w:rsid w:val="00AF41A6"/>
    <w:rsid w:val="00AF564B"/>
    <w:rsid w:val="00AF5E2A"/>
    <w:rsid w:val="00AF662F"/>
    <w:rsid w:val="00AF66C0"/>
    <w:rsid w:val="00AF7974"/>
    <w:rsid w:val="00AF7AA4"/>
    <w:rsid w:val="00AF7E45"/>
    <w:rsid w:val="00B00094"/>
    <w:rsid w:val="00B00860"/>
    <w:rsid w:val="00B00BF1"/>
    <w:rsid w:val="00B01324"/>
    <w:rsid w:val="00B0282D"/>
    <w:rsid w:val="00B0300F"/>
    <w:rsid w:val="00B03995"/>
    <w:rsid w:val="00B03D6C"/>
    <w:rsid w:val="00B0517E"/>
    <w:rsid w:val="00B05282"/>
    <w:rsid w:val="00B0562A"/>
    <w:rsid w:val="00B05C84"/>
    <w:rsid w:val="00B06096"/>
    <w:rsid w:val="00B06677"/>
    <w:rsid w:val="00B068A3"/>
    <w:rsid w:val="00B07D22"/>
    <w:rsid w:val="00B07D97"/>
    <w:rsid w:val="00B07FC8"/>
    <w:rsid w:val="00B10BDA"/>
    <w:rsid w:val="00B10C63"/>
    <w:rsid w:val="00B10D1E"/>
    <w:rsid w:val="00B10E1F"/>
    <w:rsid w:val="00B113B0"/>
    <w:rsid w:val="00B1181E"/>
    <w:rsid w:val="00B13703"/>
    <w:rsid w:val="00B13CDB"/>
    <w:rsid w:val="00B14EE3"/>
    <w:rsid w:val="00B15FBE"/>
    <w:rsid w:val="00B15FDC"/>
    <w:rsid w:val="00B1619D"/>
    <w:rsid w:val="00B16AD6"/>
    <w:rsid w:val="00B16F1C"/>
    <w:rsid w:val="00B17C0A"/>
    <w:rsid w:val="00B17EE4"/>
    <w:rsid w:val="00B20492"/>
    <w:rsid w:val="00B2224D"/>
    <w:rsid w:val="00B228B8"/>
    <w:rsid w:val="00B236BA"/>
    <w:rsid w:val="00B23CC9"/>
    <w:rsid w:val="00B24097"/>
    <w:rsid w:val="00B2458D"/>
    <w:rsid w:val="00B25C95"/>
    <w:rsid w:val="00B261EF"/>
    <w:rsid w:val="00B262B7"/>
    <w:rsid w:val="00B2640A"/>
    <w:rsid w:val="00B268EB"/>
    <w:rsid w:val="00B26A91"/>
    <w:rsid w:val="00B275C5"/>
    <w:rsid w:val="00B3094E"/>
    <w:rsid w:val="00B30997"/>
    <w:rsid w:val="00B30EDF"/>
    <w:rsid w:val="00B31624"/>
    <w:rsid w:val="00B316A0"/>
    <w:rsid w:val="00B31D8E"/>
    <w:rsid w:val="00B32111"/>
    <w:rsid w:val="00B33713"/>
    <w:rsid w:val="00B33DD4"/>
    <w:rsid w:val="00B3401B"/>
    <w:rsid w:val="00B341C7"/>
    <w:rsid w:val="00B34938"/>
    <w:rsid w:val="00B35681"/>
    <w:rsid w:val="00B35AEE"/>
    <w:rsid w:val="00B36ABD"/>
    <w:rsid w:val="00B36CA2"/>
    <w:rsid w:val="00B374B7"/>
    <w:rsid w:val="00B37B00"/>
    <w:rsid w:val="00B4007B"/>
    <w:rsid w:val="00B407B5"/>
    <w:rsid w:val="00B4111E"/>
    <w:rsid w:val="00B412A1"/>
    <w:rsid w:val="00B41AAF"/>
    <w:rsid w:val="00B42064"/>
    <w:rsid w:val="00B42E04"/>
    <w:rsid w:val="00B42E88"/>
    <w:rsid w:val="00B43046"/>
    <w:rsid w:val="00B44052"/>
    <w:rsid w:val="00B443E7"/>
    <w:rsid w:val="00B44AA7"/>
    <w:rsid w:val="00B44CDD"/>
    <w:rsid w:val="00B4506D"/>
    <w:rsid w:val="00B45B77"/>
    <w:rsid w:val="00B46E6E"/>
    <w:rsid w:val="00B46F5A"/>
    <w:rsid w:val="00B4712F"/>
    <w:rsid w:val="00B47486"/>
    <w:rsid w:val="00B47765"/>
    <w:rsid w:val="00B47911"/>
    <w:rsid w:val="00B47C3A"/>
    <w:rsid w:val="00B500D8"/>
    <w:rsid w:val="00B51754"/>
    <w:rsid w:val="00B518F2"/>
    <w:rsid w:val="00B52444"/>
    <w:rsid w:val="00B52A81"/>
    <w:rsid w:val="00B52BF7"/>
    <w:rsid w:val="00B52C41"/>
    <w:rsid w:val="00B53004"/>
    <w:rsid w:val="00B533BA"/>
    <w:rsid w:val="00B535B4"/>
    <w:rsid w:val="00B5451A"/>
    <w:rsid w:val="00B551BD"/>
    <w:rsid w:val="00B55C5A"/>
    <w:rsid w:val="00B56D31"/>
    <w:rsid w:val="00B57513"/>
    <w:rsid w:val="00B57F97"/>
    <w:rsid w:val="00B6072E"/>
    <w:rsid w:val="00B62330"/>
    <w:rsid w:val="00B62578"/>
    <w:rsid w:val="00B62CD5"/>
    <w:rsid w:val="00B64044"/>
    <w:rsid w:val="00B648FA"/>
    <w:rsid w:val="00B64BB9"/>
    <w:rsid w:val="00B6542F"/>
    <w:rsid w:val="00B6567E"/>
    <w:rsid w:val="00B65BD7"/>
    <w:rsid w:val="00B65FF1"/>
    <w:rsid w:val="00B66B04"/>
    <w:rsid w:val="00B7027B"/>
    <w:rsid w:val="00B70642"/>
    <w:rsid w:val="00B7156A"/>
    <w:rsid w:val="00B71BB3"/>
    <w:rsid w:val="00B71E22"/>
    <w:rsid w:val="00B725E1"/>
    <w:rsid w:val="00B72C88"/>
    <w:rsid w:val="00B72E28"/>
    <w:rsid w:val="00B74B1E"/>
    <w:rsid w:val="00B755BA"/>
    <w:rsid w:val="00B759AC"/>
    <w:rsid w:val="00B76519"/>
    <w:rsid w:val="00B7774A"/>
    <w:rsid w:val="00B7795A"/>
    <w:rsid w:val="00B77CB5"/>
    <w:rsid w:val="00B77F9A"/>
    <w:rsid w:val="00B80EC5"/>
    <w:rsid w:val="00B81118"/>
    <w:rsid w:val="00B81910"/>
    <w:rsid w:val="00B820F4"/>
    <w:rsid w:val="00B82503"/>
    <w:rsid w:val="00B82B18"/>
    <w:rsid w:val="00B82BFE"/>
    <w:rsid w:val="00B84398"/>
    <w:rsid w:val="00B84771"/>
    <w:rsid w:val="00B848AA"/>
    <w:rsid w:val="00B84D56"/>
    <w:rsid w:val="00B85309"/>
    <w:rsid w:val="00B854D7"/>
    <w:rsid w:val="00B85641"/>
    <w:rsid w:val="00B86585"/>
    <w:rsid w:val="00B869E9"/>
    <w:rsid w:val="00B90032"/>
    <w:rsid w:val="00B900A7"/>
    <w:rsid w:val="00B9022D"/>
    <w:rsid w:val="00B902E5"/>
    <w:rsid w:val="00B90402"/>
    <w:rsid w:val="00B90C3E"/>
    <w:rsid w:val="00B90C50"/>
    <w:rsid w:val="00B92613"/>
    <w:rsid w:val="00B92C98"/>
    <w:rsid w:val="00B93612"/>
    <w:rsid w:val="00B93F80"/>
    <w:rsid w:val="00B952BA"/>
    <w:rsid w:val="00B95C67"/>
    <w:rsid w:val="00B95E8D"/>
    <w:rsid w:val="00B96120"/>
    <w:rsid w:val="00B96CA5"/>
    <w:rsid w:val="00B97E49"/>
    <w:rsid w:val="00BA0801"/>
    <w:rsid w:val="00BA156D"/>
    <w:rsid w:val="00BA37A0"/>
    <w:rsid w:val="00BA430D"/>
    <w:rsid w:val="00BA44AD"/>
    <w:rsid w:val="00BA608B"/>
    <w:rsid w:val="00BA6142"/>
    <w:rsid w:val="00BA617D"/>
    <w:rsid w:val="00BA6522"/>
    <w:rsid w:val="00BA7283"/>
    <w:rsid w:val="00BA764E"/>
    <w:rsid w:val="00BA7683"/>
    <w:rsid w:val="00BA76B9"/>
    <w:rsid w:val="00BA7730"/>
    <w:rsid w:val="00BB11A6"/>
    <w:rsid w:val="00BB3F78"/>
    <w:rsid w:val="00BB470B"/>
    <w:rsid w:val="00BB54E5"/>
    <w:rsid w:val="00BB5E0B"/>
    <w:rsid w:val="00BB60ED"/>
    <w:rsid w:val="00BB62F1"/>
    <w:rsid w:val="00BB6C79"/>
    <w:rsid w:val="00BB76C8"/>
    <w:rsid w:val="00BB7C03"/>
    <w:rsid w:val="00BB7EDD"/>
    <w:rsid w:val="00BC0D43"/>
    <w:rsid w:val="00BC0E97"/>
    <w:rsid w:val="00BC0ED7"/>
    <w:rsid w:val="00BC2AE5"/>
    <w:rsid w:val="00BC30C7"/>
    <w:rsid w:val="00BC5179"/>
    <w:rsid w:val="00BC71E8"/>
    <w:rsid w:val="00BC73D2"/>
    <w:rsid w:val="00BD04F8"/>
    <w:rsid w:val="00BD05EE"/>
    <w:rsid w:val="00BD078E"/>
    <w:rsid w:val="00BD0C5E"/>
    <w:rsid w:val="00BD331A"/>
    <w:rsid w:val="00BD3EA9"/>
    <w:rsid w:val="00BD4A1D"/>
    <w:rsid w:val="00BD4C93"/>
    <w:rsid w:val="00BD55C5"/>
    <w:rsid w:val="00BD75A9"/>
    <w:rsid w:val="00BE0587"/>
    <w:rsid w:val="00BE095A"/>
    <w:rsid w:val="00BE23CE"/>
    <w:rsid w:val="00BE24F4"/>
    <w:rsid w:val="00BE24FF"/>
    <w:rsid w:val="00BE36F1"/>
    <w:rsid w:val="00BE4097"/>
    <w:rsid w:val="00BE493D"/>
    <w:rsid w:val="00BE53F5"/>
    <w:rsid w:val="00BE5D58"/>
    <w:rsid w:val="00BE5F3C"/>
    <w:rsid w:val="00BE79C6"/>
    <w:rsid w:val="00BE7FC0"/>
    <w:rsid w:val="00BF0748"/>
    <w:rsid w:val="00BF08EC"/>
    <w:rsid w:val="00BF09F1"/>
    <w:rsid w:val="00BF12BD"/>
    <w:rsid w:val="00BF1386"/>
    <w:rsid w:val="00BF21AE"/>
    <w:rsid w:val="00BF2234"/>
    <w:rsid w:val="00BF2474"/>
    <w:rsid w:val="00BF28F7"/>
    <w:rsid w:val="00BF2C1A"/>
    <w:rsid w:val="00BF3FD7"/>
    <w:rsid w:val="00BF4976"/>
    <w:rsid w:val="00BF4AF6"/>
    <w:rsid w:val="00BF4CCA"/>
    <w:rsid w:val="00BF4F46"/>
    <w:rsid w:val="00BF5EDF"/>
    <w:rsid w:val="00BF60F4"/>
    <w:rsid w:val="00BF6574"/>
    <w:rsid w:val="00BF68DA"/>
    <w:rsid w:val="00C001F2"/>
    <w:rsid w:val="00C006C5"/>
    <w:rsid w:val="00C0150B"/>
    <w:rsid w:val="00C02147"/>
    <w:rsid w:val="00C02215"/>
    <w:rsid w:val="00C02448"/>
    <w:rsid w:val="00C024E4"/>
    <w:rsid w:val="00C0268F"/>
    <w:rsid w:val="00C03D73"/>
    <w:rsid w:val="00C03F2D"/>
    <w:rsid w:val="00C04C5E"/>
    <w:rsid w:val="00C055BC"/>
    <w:rsid w:val="00C065C2"/>
    <w:rsid w:val="00C06F70"/>
    <w:rsid w:val="00C07649"/>
    <w:rsid w:val="00C0798A"/>
    <w:rsid w:val="00C07B05"/>
    <w:rsid w:val="00C07B0F"/>
    <w:rsid w:val="00C07D5D"/>
    <w:rsid w:val="00C07E58"/>
    <w:rsid w:val="00C10A21"/>
    <w:rsid w:val="00C11206"/>
    <w:rsid w:val="00C13A2B"/>
    <w:rsid w:val="00C13DBB"/>
    <w:rsid w:val="00C1428D"/>
    <w:rsid w:val="00C14469"/>
    <w:rsid w:val="00C146B0"/>
    <w:rsid w:val="00C14CEE"/>
    <w:rsid w:val="00C158EC"/>
    <w:rsid w:val="00C15DCF"/>
    <w:rsid w:val="00C15F22"/>
    <w:rsid w:val="00C16A29"/>
    <w:rsid w:val="00C1706E"/>
    <w:rsid w:val="00C20C59"/>
    <w:rsid w:val="00C2199E"/>
    <w:rsid w:val="00C21D14"/>
    <w:rsid w:val="00C21D4C"/>
    <w:rsid w:val="00C22D80"/>
    <w:rsid w:val="00C233AC"/>
    <w:rsid w:val="00C23A43"/>
    <w:rsid w:val="00C23A4E"/>
    <w:rsid w:val="00C2482B"/>
    <w:rsid w:val="00C2501A"/>
    <w:rsid w:val="00C25048"/>
    <w:rsid w:val="00C2552D"/>
    <w:rsid w:val="00C25A8F"/>
    <w:rsid w:val="00C25E89"/>
    <w:rsid w:val="00C26119"/>
    <w:rsid w:val="00C261D2"/>
    <w:rsid w:val="00C2721E"/>
    <w:rsid w:val="00C27D28"/>
    <w:rsid w:val="00C31015"/>
    <w:rsid w:val="00C31258"/>
    <w:rsid w:val="00C31539"/>
    <w:rsid w:val="00C315DA"/>
    <w:rsid w:val="00C317B1"/>
    <w:rsid w:val="00C320D0"/>
    <w:rsid w:val="00C32FB7"/>
    <w:rsid w:val="00C33350"/>
    <w:rsid w:val="00C33DD7"/>
    <w:rsid w:val="00C34ADB"/>
    <w:rsid w:val="00C34D97"/>
    <w:rsid w:val="00C358F0"/>
    <w:rsid w:val="00C35D46"/>
    <w:rsid w:val="00C35F25"/>
    <w:rsid w:val="00C3640B"/>
    <w:rsid w:val="00C370B2"/>
    <w:rsid w:val="00C3734B"/>
    <w:rsid w:val="00C3738E"/>
    <w:rsid w:val="00C40925"/>
    <w:rsid w:val="00C40BD5"/>
    <w:rsid w:val="00C40DCD"/>
    <w:rsid w:val="00C41C98"/>
    <w:rsid w:val="00C4270E"/>
    <w:rsid w:val="00C4297F"/>
    <w:rsid w:val="00C42ED6"/>
    <w:rsid w:val="00C440EF"/>
    <w:rsid w:val="00C4482F"/>
    <w:rsid w:val="00C44A0C"/>
    <w:rsid w:val="00C44D76"/>
    <w:rsid w:val="00C44E77"/>
    <w:rsid w:val="00C45750"/>
    <w:rsid w:val="00C45E7B"/>
    <w:rsid w:val="00C45FBE"/>
    <w:rsid w:val="00C465CA"/>
    <w:rsid w:val="00C4660E"/>
    <w:rsid w:val="00C470A5"/>
    <w:rsid w:val="00C472F2"/>
    <w:rsid w:val="00C47652"/>
    <w:rsid w:val="00C5015A"/>
    <w:rsid w:val="00C5092A"/>
    <w:rsid w:val="00C513C8"/>
    <w:rsid w:val="00C520B4"/>
    <w:rsid w:val="00C5295F"/>
    <w:rsid w:val="00C52BE6"/>
    <w:rsid w:val="00C52FD8"/>
    <w:rsid w:val="00C53891"/>
    <w:rsid w:val="00C53FAF"/>
    <w:rsid w:val="00C54DB1"/>
    <w:rsid w:val="00C557A9"/>
    <w:rsid w:val="00C55802"/>
    <w:rsid w:val="00C55AE8"/>
    <w:rsid w:val="00C55DBC"/>
    <w:rsid w:val="00C560FD"/>
    <w:rsid w:val="00C5617F"/>
    <w:rsid w:val="00C56817"/>
    <w:rsid w:val="00C60263"/>
    <w:rsid w:val="00C609CB"/>
    <w:rsid w:val="00C61A60"/>
    <w:rsid w:val="00C61CFF"/>
    <w:rsid w:val="00C62007"/>
    <w:rsid w:val="00C62250"/>
    <w:rsid w:val="00C62AEE"/>
    <w:rsid w:val="00C63100"/>
    <w:rsid w:val="00C6404A"/>
    <w:rsid w:val="00C64448"/>
    <w:rsid w:val="00C6457E"/>
    <w:rsid w:val="00C654E9"/>
    <w:rsid w:val="00C65E79"/>
    <w:rsid w:val="00C662D8"/>
    <w:rsid w:val="00C66867"/>
    <w:rsid w:val="00C66B2E"/>
    <w:rsid w:val="00C66E82"/>
    <w:rsid w:val="00C66E93"/>
    <w:rsid w:val="00C671F5"/>
    <w:rsid w:val="00C6725B"/>
    <w:rsid w:val="00C67937"/>
    <w:rsid w:val="00C67A72"/>
    <w:rsid w:val="00C67D3D"/>
    <w:rsid w:val="00C70A00"/>
    <w:rsid w:val="00C70D92"/>
    <w:rsid w:val="00C71751"/>
    <w:rsid w:val="00C718D2"/>
    <w:rsid w:val="00C723E3"/>
    <w:rsid w:val="00C72556"/>
    <w:rsid w:val="00C72894"/>
    <w:rsid w:val="00C737B6"/>
    <w:rsid w:val="00C745A9"/>
    <w:rsid w:val="00C74955"/>
    <w:rsid w:val="00C74DE5"/>
    <w:rsid w:val="00C75B11"/>
    <w:rsid w:val="00C75DDF"/>
    <w:rsid w:val="00C75F3E"/>
    <w:rsid w:val="00C75F7D"/>
    <w:rsid w:val="00C7624C"/>
    <w:rsid w:val="00C76415"/>
    <w:rsid w:val="00C7655E"/>
    <w:rsid w:val="00C7693E"/>
    <w:rsid w:val="00C76C15"/>
    <w:rsid w:val="00C77428"/>
    <w:rsid w:val="00C77481"/>
    <w:rsid w:val="00C77C37"/>
    <w:rsid w:val="00C809DE"/>
    <w:rsid w:val="00C809ED"/>
    <w:rsid w:val="00C82473"/>
    <w:rsid w:val="00C8279B"/>
    <w:rsid w:val="00C828FA"/>
    <w:rsid w:val="00C83F7A"/>
    <w:rsid w:val="00C8425B"/>
    <w:rsid w:val="00C8489A"/>
    <w:rsid w:val="00C84D24"/>
    <w:rsid w:val="00C84F4D"/>
    <w:rsid w:val="00C869E6"/>
    <w:rsid w:val="00C86AFB"/>
    <w:rsid w:val="00C90D31"/>
    <w:rsid w:val="00C9152D"/>
    <w:rsid w:val="00C91B6F"/>
    <w:rsid w:val="00C91EA0"/>
    <w:rsid w:val="00C94251"/>
    <w:rsid w:val="00C942A1"/>
    <w:rsid w:val="00C9473C"/>
    <w:rsid w:val="00C96196"/>
    <w:rsid w:val="00C96698"/>
    <w:rsid w:val="00C96C86"/>
    <w:rsid w:val="00CA1666"/>
    <w:rsid w:val="00CA1E21"/>
    <w:rsid w:val="00CA1F84"/>
    <w:rsid w:val="00CA27DB"/>
    <w:rsid w:val="00CA31ED"/>
    <w:rsid w:val="00CA3AED"/>
    <w:rsid w:val="00CA544B"/>
    <w:rsid w:val="00CA5BF3"/>
    <w:rsid w:val="00CA6FC7"/>
    <w:rsid w:val="00CA71AA"/>
    <w:rsid w:val="00CA7541"/>
    <w:rsid w:val="00CA77BF"/>
    <w:rsid w:val="00CA7D87"/>
    <w:rsid w:val="00CB11B6"/>
    <w:rsid w:val="00CB123F"/>
    <w:rsid w:val="00CB15CD"/>
    <w:rsid w:val="00CB177E"/>
    <w:rsid w:val="00CB274B"/>
    <w:rsid w:val="00CB31B1"/>
    <w:rsid w:val="00CB3331"/>
    <w:rsid w:val="00CB49BC"/>
    <w:rsid w:val="00CB4D46"/>
    <w:rsid w:val="00CB4EB0"/>
    <w:rsid w:val="00CB533B"/>
    <w:rsid w:val="00CB542B"/>
    <w:rsid w:val="00CB60A5"/>
    <w:rsid w:val="00CB69DF"/>
    <w:rsid w:val="00CB6CBF"/>
    <w:rsid w:val="00CB7ACB"/>
    <w:rsid w:val="00CB7D53"/>
    <w:rsid w:val="00CC03D0"/>
    <w:rsid w:val="00CC14CE"/>
    <w:rsid w:val="00CC164D"/>
    <w:rsid w:val="00CC1C06"/>
    <w:rsid w:val="00CC2735"/>
    <w:rsid w:val="00CC27FA"/>
    <w:rsid w:val="00CC44FF"/>
    <w:rsid w:val="00CC50CE"/>
    <w:rsid w:val="00CC6417"/>
    <w:rsid w:val="00CC6DA2"/>
    <w:rsid w:val="00CC77E8"/>
    <w:rsid w:val="00CC7DAE"/>
    <w:rsid w:val="00CD054E"/>
    <w:rsid w:val="00CD06B0"/>
    <w:rsid w:val="00CD06C4"/>
    <w:rsid w:val="00CD08CF"/>
    <w:rsid w:val="00CD1D80"/>
    <w:rsid w:val="00CD1EE4"/>
    <w:rsid w:val="00CD2A17"/>
    <w:rsid w:val="00CD2BAC"/>
    <w:rsid w:val="00CD2E3B"/>
    <w:rsid w:val="00CD2F73"/>
    <w:rsid w:val="00CD394A"/>
    <w:rsid w:val="00CD41B0"/>
    <w:rsid w:val="00CD4D74"/>
    <w:rsid w:val="00CD51B2"/>
    <w:rsid w:val="00CD5228"/>
    <w:rsid w:val="00CD591A"/>
    <w:rsid w:val="00CD5E7D"/>
    <w:rsid w:val="00CD6366"/>
    <w:rsid w:val="00CD6461"/>
    <w:rsid w:val="00CD6EC0"/>
    <w:rsid w:val="00CD7174"/>
    <w:rsid w:val="00CE1182"/>
    <w:rsid w:val="00CE1787"/>
    <w:rsid w:val="00CE1B61"/>
    <w:rsid w:val="00CE2435"/>
    <w:rsid w:val="00CE2FA0"/>
    <w:rsid w:val="00CE3A64"/>
    <w:rsid w:val="00CE440D"/>
    <w:rsid w:val="00CE4EDB"/>
    <w:rsid w:val="00CE57CD"/>
    <w:rsid w:val="00CE59AD"/>
    <w:rsid w:val="00CE5B0E"/>
    <w:rsid w:val="00CE6252"/>
    <w:rsid w:val="00CE65F0"/>
    <w:rsid w:val="00CE690F"/>
    <w:rsid w:val="00CE7290"/>
    <w:rsid w:val="00CE7B98"/>
    <w:rsid w:val="00CF0CD6"/>
    <w:rsid w:val="00CF1154"/>
    <w:rsid w:val="00CF1407"/>
    <w:rsid w:val="00CF1668"/>
    <w:rsid w:val="00CF16D1"/>
    <w:rsid w:val="00CF1912"/>
    <w:rsid w:val="00CF20CA"/>
    <w:rsid w:val="00CF219F"/>
    <w:rsid w:val="00CF231F"/>
    <w:rsid w:val="00CF325A"/>
    <w:rsid w:val="00CF3338"/>
    <w:rsid w:val="00CF37E2"/>
    <w:rsid w:val="00CF3E33"/>
    <w:rsid w:val="00CF421C"/>
    <w:rsid w:val="00CF4540"/>
    <w:rsid w:val="00CF515B"/>
    <w:rsid w:val="00CF7125"/>
    <w:rsid w:val="00D0041C"/>
    <w:rsid w:val="00D005FC"/>
    <w:rsid w:val="00D02687"/>
    <w:rsid w:val="00D02F95"/>
    <w:rsid w:val="00D03BCD"/>
    <w:rsid w:val="00D05239"/>
    <w:rsid w:val="00D054E7"/>
    <w:rsid w:val="00D05562"/>
    <w:rsid w:val="00D05F88"/>
    <w:rsid w:val="00D06668"/>
    <w:rsid w:val="00D10736"/>
    <w:rsid w:val="00D1270C"/>
    <w:rsid w:val="00D13BB9"/>
    <w:rsid w:val="00D14BFC"/>
    <w:rsid w:val="00D150A0"/>
    <w:rsid w:val="00D16743"/>
    <w:rsid w:val="00D16817"/>
    <w:rsid w:val="00D16834"/>
    <w:rsid w:val="00D17BFA"/>
    <w:rsid w:val="00D2021E"/>
    <w:rsid w:val="00D205A3"/>
    <w:rsid w:val="00D20E7A"/>
    <w:rsid w:val="00D20F02"/>
    <w:rsid w:val="00D211A3"/>
    <w:rsid w:val="00D21AD4"/>
    <w:rsid w:val="00D2240D"/>
    <w:rsid w:val="00D22569"/>
    <w:rsid w:val="00D226D5"/>
    <w:rsid w:val="00D22762"/>
    <w:rsid w:val="00D2278B"/>
    <w:rsid w:val="00D24231"/>
    <w:rsid w:val="00D24621"/>
    <w:rsid w:val="00D254C6"/>
    <w:rsid w:val="00D25858"/>
    <w:rsid w:val="00D259F2"/>
    <w:rsid w:val="00D25F6D"/>
    <w:rsid w:val="00D275BF"/>
    <w:rsid w:val="00D27A73"/>
    <w:rsid w:val="00D304F6"/>
    <w:rsid w:val="00D305A8"/>
    <w:rsid w:val="00D30908"/>
    <w:rsid w:val="00D30B36"/>
    <w:rsid w:val="00D30C6E"/>
    <w:rsid w:val="00D31279"/>
    <w:rsid w:val="00D31DBA"/>
    <w:rsid w:val="00D32486"/>
    <w:rsid w:val="00D33759"/>
    <w:rsid w:val="00D33BB7"/>
    <w:rsid w:val="00D33D2D"/>
    <w:rsid w:val="00D343CC"/>
    <w:rsid w:val="00D35572"/>
    <w:rsid w:val="00D35C5F"/>
    <w:rsid w:val="00D36116"/>
    <w:rsid w:val="00D36937"/>
    <w:rsid w:val="00D371C7"/>
    <w:rsid w:val="00D3741B"/>
    <w:rsid w:val="00D404CB"/>
    <w:rsid w:val="00D40527"/>
    <w:rsid w:val="00D411AF"/>
    <w:rsid w:val="00D41E77"/>
    <w:rsid w:val="00D41F59"/>
    <w:rsid w:val="00D44679"/>
    <w:rsid w:val="00D450E6"/>
    <w:rsid w:val="00D46759"/>
    <w:rsid w:val="00D46811"/>
    <w:rsid w:val="00D46885"/>
    <w:rsid w:val="00D46A00"/>
    <w:rsid w:val="00D46BEE"/>
    <w:rsid w:val="00D5256E"/>
    <w:rsid w:val="00D52AEC"/>
    <w:rsid w:val="00D5302E"/>
    <w:rsid w:val="00D53B30"/>
    <w:rsid w:val="00D53B89"/>
    <w:rsid w:val="00D53ED4"/>
    <w:rsid w:val="00D53F14"/>
    <w:rsid w:val="00D5408B"/>
    <w:rsid w:val="00D54596"/>
    <w:rsid w:val="00D5463E"/>
    <w:rsid w:val="00D549D9"/>
    <w:rsid w:val="00D54E81"/>
    <w:rsid w:val="00D56A35"/>
    <w:rsid w:val="00D56DB8"/>
    <w:rsid w:val="00D60375"/>
    <w:rsid w:val="00D6067D"/>
    <w:rsid w:val="00D606A6"/>
    <w:rsid w:val="00D60AB5"/>
    <w:rsid w:val="00D60F49"/>
    <w:rsid w:val="00D61138"/>
    <w:rsid w:val="00D61AAA"/>
    <w:rsid w:val="00D61AC3"/>
    <w:rsid w:val="00D6287E"/>
    <w:rsid w:val="00D629C5"/>
    <w:rsid w:val="00D62FE6"/>
    <w:rsid w:val="00D634F5"/>
    <w:rsid w:val="00D63856"/>
    <w:rsid w:val="00D63951"/>
    <w:rsid w:val="00D64F13"/>
    <w:rsid w:val="00D651C4"/>
    <w:rsid w:val="00D65968"/>
    <w:rsid w:val="00D660BF"/>
    <w:rsid w:val="00D6676B"/>
    <w:rsid w:val="00D67018"/>
    <w:rsid w:val="00D67FB7"/>
    <w:rsid w:val="00D71A25"/>
    <w:rsid w:val="00D71BD0"/>
    <w:rsid w:val="00D71C86"/>
    <w:rsid w:val="00D71E34"/>
    <w:rsid w:val="00D729D0"/>
    <w:rsid w:val="00D732E0"/>
    <w:rsid w:val="00D7477C"/>
    <w:rsid w:val="00D74C35"/>
    <w:rsid w:val="00D7508F"/>
    <w:rsid w:val="00D76022"/>
    <w:rsid w:val="00D760C1"/>
    <w:rsid w:val="00D80163"/>
    <w:rsid w:val="00D804F5"/>
    <w:rsid w:val="00D80B5A"/>
    <w:rsid w:val="00D80E1A"/>
    <w:rsid w:val="00D8163A"/>
    <w:rsid w:val="00D818FE"/>
    <w:rsid w:val="00D81BCB"/>
    <w:rsid w:val="00D823EC"/>
    <w:rsid w:val="00D82CA6"/>
    <w:rsid w:val="00D830AB"/>
    <w:rsid w:val="00D835FA"/>
    <w:rsid w:val="00D84282"/>
    <w:rsid w:val="00D8454C"/>
    <w:rsid w:val="00D849F9"/>
    <w:rsid w:val="00D861D8"/>
    <w:rsid w:val="00D86CE2"/>
    <w:rsid w:val="00D86F98"/>
    <w:rsid w:val="00D87279"/>
    <w:rsid w:val="00D87449"/>
    <w:rsid w:val="00D919D7"/>
    <w:rsid w:val="00D91C42"/>
    <w:rsid w:val="00D91C5A"/>
    <w:rsid w:val="00D91EB8"/>
    <w:rsid w:val="00D92875"/>
    <w:rsid w:val="00D928AF"/>
    <w:rsid w:val="00D93273"/>
    <w:rsid w:val="00D93A9E"/>
    <w:rsid w:val="00D93E4F"/>
    <w:rsid w:val="00D94D47"/>
    <w:rsid w:val="00D957E2"/>
    <w:rsid w:val="00D95A32"/>
    <w:rsid w:val="00D96648"/>
    <w:rsid w:val="00D9698E"/>
    <w:rsid w:val="00DA08F0"/>
    <w:rsid w:val="00DA09F1"/>
    <w:rsid w:val="00DA22A9"/>
    <w:rsid w:val="00DA2F21"/>
    <w:rsid w:val="00DA341C"/>
    <w:rsid w:val="00DA4F24"/>
    <w:rsid w:val="00DA6813"/>
    <w:rsid w:val="00DA6D7E"/>
    <w:rsid w:val="00DA75C4"/>
    <w:rsid w:val="00DA79FC"/>
    <w:rsid w:val="00DB002F"/>
    <w:rsid w:val="00DB04CE"/>
    <w:rsid w:val="00DB063D"/>
    <w:rsid w:val="00DB0E3E"/>
    <w:rsid w:val="00DB1595"/>
    <w:rsid w:val="00DB1EC1"/>
    <w:rsid w:val="00DB23DD"/>
    <w:rsid w:val="00DB2CFC"/>
    <w:rsid w:val="00DB38E1"/>
    <w:rsid w:val="00DB3DF2"/>
    <w:rsid w:val="00DB4100"/>
    <w:rsid w:val="00DB4109"/>
    <w:rsid w:val="00DB572A"/>
    <w:rsid w:val="00DB6295"/>
    <w:rsid w:val="00DB69BE"/>
    <w:rsid w:val="00DC05E1"/>
    <w:rsid w:val="00DC0AFD"/>
    <w:rsid w:val="00DC0D5C"/>
    <w:rsid w:val="00DC11B3"/>
    <w:rsid w:val="00DC1CD1"/>
    <w:rsid w:val="00DC27CD"/>
    <w:rsid w:val="00DC2988"/>
    <w:rsid w:val="00DC30B9"/>
    <w:rsid w:val="00DC3999"/>
    <w:rsid w:val="00DC3BAB"/>
    <w:rsid w:val="00DC3D51"/>
    <w:rsid w:val="00DC477C"/>
    <w:rsid w:val="00DC47AE"/>
    <w:rsid w:val="00DC4A2A"/>
    <w:rsid w:val="00DC5AA7"/>
    <w:rsid w:val="00DC5DD7"/>
    <w:rsid w:val="00DC6B06"/>
    <w:rsid w:val="00DC733D"/>
    <w:rsid w:val="00DC73BC"/>
    <w:rsid w:val="00DD0D60"/>
    <w:rsid w:val="00DD16D9"/>
    <w:rsid w:val="00DD1BDC"/>
    <w:rsid w:val="00DD2108"/>
    <w:rsid w:val="00DD2109"/>
    <w:rsid w:val="00DD23D6"/>
    <w:rsid w:val="00DD2DE3"/>
    <w:rsid w:val="00DD2DF4"/>
    <w:rsid w:val="00DD2F3B"/>
    <w:rsid w:val="00DD4406"/>
    <w:rsid w:val="00DD490F"/>
    <w:rsid w:val="00DD5334"/>
    <w:rsid w:val="00DD5410"/>
    <w:rsid w:val="00DD575A"/>
    <w:rsid w:val="00DD618E"/>
    <w:rsid w:val="00DD6713"/>
    <w:rsid w:val="00DD6FA5"/>
    <w:rsid w:val="00DD77AF"/>
    <w:rsid w:val="00DD7E66"/>
    <w:rsid w:val="00DE01FF"/>
    <w:rsid w:val="00DE05D8"/>
    <w:rsid w:val="00DE0F2A"/>
    <w:rsid w:val="00DE1000"/>
    <w:rsid w:val="00DE13D4"/>
    <w:rsid w:val="00DE2280"/>
    <w:rsid w:val="00DE2A88"/>
    <w:rsid w:val="00DE39F8"/>
    <w:rsid w:val="00DE3E00"/>
    <w:rsid w:val="00DE40F3"/>
    <w:rsid w:val="00DE4E3B"/>
    <w:rsid w:val="00DE6BDA"/>
    <w:rsid w:val="00DE7874"/>
    <w:rsid w:val="00DE7A67"/>
    <w:rsid w:val="00DF19BD"/>
    <w:rsid w:val="00DF1CEB"/>
    <w:rsid w:val="00DF1D1E"/>
    <w:rsid w:val="00DF1F23"/>
    <w:rsid w:val="00DF298B"/>
    <w:rsid w:val="00DF30E4"/>
    <w:rsid w:val="00DF3C91"/>
    <w:rsid w:val="00DF4928"/>
    <w:rsid w:val="00DF4B39"/>
    <w:rsid w:val="00DF6A09"/>
    <w:rsid w:val="00DF74B3"/>
    <w:rsid w:val="00DF7546"/>
    <w:rsid w:val="00DF754F"/>
    <w:rsid w:val="00E00099"/>
    <w:rsid w:val="00E00CF6"/>
    <w:rsid w:val="00E02D29"/>
    <w:rsid w:val="00E0361B"/>
    <w:rsid w:val="00E03714"/>
    <w:rsid w:val="00E038FF"/>
    <w:rsid w:val="00E0513F"/>
    <w:rsid w:val="00E05606"/>
    <w:rsid w:val="00E06431"/>
    <w:rsid w:val="00E0684C"/>
    <w:rsid w:val="00E06A5D"/>
    <w:rsid w:val="00E07A8B"/>
    <w:rsid w:val="00E10461"/>
    <w:rsid w:val="00E108CF"/>
    <w:rsid w:val="00E1093E"/>
    <w:rsid w:val="00E1164B"/>
    <w:rsid w:val="00E12946"/>
    <w:rsid w:val="00E12B79"/>
    <w:rsid w:val="00E12C98"/>
    <w:rsid w:val="00E13064"/>
    <w:rsid w:val="00E1547C"/>
    <w:rsid w:val="00E1671A"/>
    <w:rsid w:val="00E172DA"/>
    <w:rsid w:val="00E17BE6"/>
    <w:rsid w:val="00E17D07"/>
    <w:rsid w:val="00E2019E"/>
    <w:rsid w:val="00E201B3"/>
    <w:rsid w:val="00E2070E"/>
    <w:rsid w:val="00E207FB"/>
    <w:rsid w:val="00E20E4C"/>
    <w:rsid w:val="00E21059"/>
    <w:rsid w:val="00E21203"/>
    <w:rsid w:val="00E213BB"/>
    <w:rsid w:val="00E21EC5"/>
    <w:rsid w:val="00E21F7E"/>
    <w:rsid w:val="00E22B02"/>
    <w:rsid w:val="00E233D9"/>
    <w:rsid w:val="00E2358E"/>
    <w:rsid w:val="00E2685D"/>
    <w:rsid w:val="00E27633"/>
    <w:rsid w:val="00E27F11"/>
    <w:rsid w:val="00E312D4"/>
    <w:rsid w:val="00E3169A"/>
    <w:rsid w:val="00E31E6C"/>
    <w:rsid w:val="00E32540"/>
    <w:rsid w:val="00E33513"/>
    <w:rsid w:val="00E34001"/>
    <w:rsid w:val="00E34792"/>
    <w:rsid w:val="00E34AF6"/>
    <w:rsid w:val="00E34D05"/>
    <w:rsid w:val="00E34F7C"/>
    <w:rsid w:val="00E35293"/>
    <w:rsid w:val="00E35D0D"/>
    <w:rsid w:val="00E35F4B"/>
    <w:rsid w:val="00E35F4C"/>
    <w:rsid w:val="00E3647B"/>
    <w:rsid w:val="00E372AA"/>
    <w:rsid w:val="00E377CD"/>
    <w:rsid w:val="00E40249"/>
    <w:rsid w:val="00E40808"/>
    <w:rsid w:val="00E40B63"/>
    <w:rsid w:val="00E415E6"/>
    <w:rsid w:val="00E4282D"/>
    <w:rsid w:val="00E4300A"/>
    <w:rsid w:val="00E43181"/>
    <w:rsid w:val="00E43647"/>
    <w:rsid w:val="00E43F39"/>
    <w:rsid w:val="00E448DC"/>
    <w:rsid w:val="00E44FAD"/>
    <w:rsid w:val="00E452CB"/>
    <w:rsid w:val="00E459DA"/>
    <w:rsid w:val="00E46645"/>
    <w:rsid w:val="00E469F2"/>
    <w:rsid w:val="00E47277"/>
    <w:rsid w:val="00E47344"/>
    <w:rsid w:val="00E47779"/>
    <w:rsid w:val="00E47A5C"/>
    <w:rsid w:val="00E47B74"/>
    <w:rsid w:val="00E5031B"/>
    <w:rsid w:val="00E504D0"/>
    <w:rsid w:val="00E5056C"/>
    <w:rsid w:val="00E52737"/>
    <w:rsid w:val="00E52C5C"/>
    <w:rsid w:val="00E5420D"/>
    <w:rsid w:val="00E54E04"/>
    <w:rsid w:val="00E55DF3"/>
    <w:rsid w:val="00E55E00"/>
    <w:rsid w:val="00E5608A"/>
    <w:rsid w:val="00E5718B"/>
    <w:rsid w:val="00E5729B"/>
    <w:rsid w:val="00E57416"/>
    <w:rsid w:val="00E57A29"/>
    <w:rsid w:val="00E57AB3"/>
    <w:rsid w:val="00E60655"/>
    <w:rsid w:val="00E60DDF"/>
    <w:rsid w:val="00E60E22"/>
    <w:rsid w:val="00E61FAA"/>
    <w:rsid w:val="00E627A8"/>
    <w:rsid w:val="00E62D45"/>
    <w:rsid w:val="00E630E8"/>
    <w:rsid w:val="00E63967"/>
    <w:rsid w:val="00E63F95"/>
    <w:rsid w:val="00E64630"/>
    <w:rsid w:val="00E66657"/>
    <w:rsid w:val="00E666CE"/>
    <w:rsid w:val="00E66A00"/>
    <w:rsid w:val="00E67250"/>
    <w:rsid w:val="00E70A2C"/>
    <w:rsid w:val="00E70CA0"/>
    <w:rsid w:val="00E70D6B"/>
    <w:rsid w:val="00E70EC0"/>
    <w:rsid w:val="00E7101F"/>
    <w:rsid w:val="00E72BCB"/>
    <w:rsid w:val="00E7349B"/>
    <w:rsid w:val="00E73512"/>
    <w:rsid w:val="00E74445"/>
    <w:rsid w:val="00E768BA"/>
    <w:rsid w:val="00E76CAF"/>
    <w:rsid w:val="00E76D14"/>
    <w:rsid w:val="00E7739F"/>
    <w:rsid w:val="00E776BD"/>
    <w:rsid w:val="00E8027F"/>
    <w:rsid w:val="00E80840"/>
    <w:rsid w:val="00E80EF4"/>
    <w:rsid w:val="00E815D7"/>
    <w:rsid w:val="00E82305"/>
    <w:rsid w:val="00E82DCD"/>
    <w:rsid w:val="00E830AE"/>
    <w:rsid w:val="00E84615"/>
    <w:rsid w:val="00E846BD"/>
    <w:rsid w:val="00E85641"/>
    <w:rsid w:val="00E85672"/>
    <w:rsid w:val="00E85DF9"/>
    <w:rsid w:val="00E86695"/>
    <w:rsid w:val="00E87B2C"/>
    <w:rsid w:val="00E90C57"/>
    <w:rsid w:val="00E90C8F"/>
    <w:rsid w:val="00E90D4F"/>
    <w:rsid w:val="00E92AC8"/>
    <w:rsid w:val="00E92C4D"/>
    <w:rsid w:val="00E931AA"/>
    <w:rsid w:val="00E933D3"/>
    <w:rsid w:val="00E9374F"/>
    <w:rsid w:val="00E93A20"/>
    <w:rsid w:val="00E93F42"/>
    <w:rsid w:val="00E94472"/>
    <w:rsid w:val="00E94557"/>
    <w:rsid w:val="00E94671"/>
    <w:rsid w:val="00E946DC"/>
    <w:rsid w:val="00E94BC3"/>
    <w:rsid w:val="00E94C08"/>
    <w:rsid w:val="00E95949"/>
    <w:rsid w:val="00E969B9"/>
    <w:rsid w:val="00EA0242"/>
    <w:rsid w:val="00EA04FF"/>
    <w:rsid w:val="00EA0D29"/>
    <w:rsid w:val="00EA128D"/>
    <w:rsid w:val="00EA24EC"/>
    <w:rsid w:val="00EA276C"/>
    <w:rsid w:val="00EA296F"/>
    <w:rsid w:val="00EA2D07"/>
    <w:rsid w:val="00EA459B"/>
    <w:rsid w:val="00EA4826"/>
    <w:rsid w:val="00EA495A"/>
    <w:rsid w:val="00EA50C6"/>
    <w:rsid w:val="00EA5537"/>
    <w:rsid w:val="00EA5FC2"/>
    <w:rsid w:val="00EA6399"/>
    <w:rsid w:val="00EA6EF3"/>
    <w:rsid w:val="00EA7828"/>
    <w:rsid w:val="00EA7C66"/>
    <w:rsid w:val="00EA7F0A"/>
    <w:rsid w:val="00EB0BB6"/>
    <w:rsid w:val="00EB0F51"/>
    <w:rsid w:val="00EB2283"/>
    <w:rsid w:val="00EB24B7"/>
    <w:rsid w:val="00EB2749"/>
    <w:rsid w:val="00EB2D3F"/>
    <w:rsid w:val="00EB309C"/>
    <w:rsid w:val="00EB3485"/>
    <w:rsid w:val="00EB3725"/>
    <w:rsid w:val="00EB4E59"/>
    <w:rsid w:val="00EB601E"/>
    <w:rsid w:val="00EB6A3B"/>
    <w:rsid w:val="00EB7781"/>
    <w:rsid w:val="00EC0ADB"/>
    <w:rsid w:val="00EC0C7E"/>
    <w:rsid w:val="00EC21D7"/>
    <w:rsid w:val="00EC30E1"/>
    <w:rsid w:val="00EC36C7"/>
    <w:rsid w:val="00EC3A8C"/>
    <w:rsid w:val="00EC48DE"/>
    <w:rsid w:val="00EC61BA"/>
    <w:rsid w:val="00ED008C"/>
    <w:rsid w:val="00ED02AA"/>
    <w:rsid w:val="00ED08A6"/>
    <w:rsid w:val="00ED0B2E"/>
    <w:rsid w:val="00ED0F50"/>
    <w:rsid w:val="00ED2219"/>
    <w:rsid w:val="00ED2C7F"/>
    <w:rsid w:val="00ED2F1E"/>
    <w:rsid w:val="00ED49D1"/>
    <w:rsid w:val="00ED4A62"/>
    <w:rsid w:val="00ED523A"/>
    <w:rsid w:val="00ED56ED"/>
    <w:rsid w:val="00ED5E2F"/>
    <w:rsid w:val="00ED72B0"/>
    <w:rsid w:val="00ED73CE"/>
    <w:rsid w:val="00ED7500"/>
    <w:rsid w:val="00EE0923"/>
    <w:rsid w:val="00EE094F"/>
    <w:rsid w:val="00EE0C82"/>
    <w:rsid w:val="00EE0D65"/>
    <w:rsid w:val="00EE0E3D"/>
    <w:rsid w:val="00EE206D"/>
    <w:rsid w:val="00EE2386"/>
    <w:rsid w:val="00EE24CC"/>
    <w:rsid w:val="00EE32CA"/>
    <w:rsid w:val="00EE3421"/>
    <w:rsid w:val="00EE3B34"/>
    <w:rsid w:val="00EE3C62"/>
    <w:rsid w:val="00EE3CFC"/>
    <w:rsid w:val="00EE444A"/>
    <w:rsid w:val="00EE5795"/>
    <w:rsid w:val="00EE5902"/>
    <w:rsid w:val="00EE5F1B"/>
    <w:rsid w:val="00EE6F95"/>
    <w:rsid w:val="00EE742C"/>
    <w:rsid w:val="00EE78E6"/>
    <w:rsid w:val="00EE79C3"/>
    <w:rsid w:val="00EF033F"/>
    <w:rsid w:val="00EF090D"/>
    <w:rsid w:val="00EF0925"/>
    <w:rsid w:val="00EF0AAC"/>
    <w:rsid w:val="00EF1934"/>
    <w:rsid w:val="00EF1A2B"/>
    <w:rsid w:val="00EF1C4C"/>
    <w:rsid w:val="00EF1EB9"/>
    <w:rsid w:val="00EF1ED5"/>
    <w:rsid w:val="00EF211C"/>
    <w:rsid w:val="00EF2EBC"/>
    <w:rsid w:val="00EF2EEC"/>
    <w:rsid w:val="00EF2FA3"/>
    <w:rsid w:val="00EF37BF"/>
    <w:rsid w:val="00EF4A16"/>
    <w:rsid w:val="00EF5752"/>
    <w:rsid w:val="00EF5A2D"/>
    <w:rsid w:val="00EF5EB3"/>
    <w:rsid w:val="00EF73B0"/>
    <w:rsid w:val="00EF772C"/>
    <w:rsid w:val="00EF7833"/>
    <w:rsid w:val="00EF7AA5"/>
    <w:rsid w:val="00EF7E12"/>
    <w:rsid w:val="00EF7F46"/>
    <w:rsid w:val="00F0131E"/>
    <w:rsid w:val="00F0184B"/>
    <w:rsid w:val="00F02054"/>
    <w:rsid w:val="00F021D5"/>
    <w:rsid w:val="00F0234A"/>
    <w:rsid w:val="00F029B3"/>
    <w:rsid w:val="00F02A97"/>
    <w:rsid w:val="00F0352D"/>
    <w:rsid w:val="00F038D0"/>
    <w:rsid w:val="00F043D6"/>
    <w:rsid w:val="00F046D6"/>
    <w:rsid w:val="00F050DF"/>
    <w:rsid w:val="00F05B4C"/>
    <w:rsid w:val="00F06D92"/>
    <w:rsid w:val="00F077E1"/>
    <w:rsid w:val="00F10113"/>
    <w:rsid w:val="00F10190"/>
    <w:rsid w:val="00F104E3"/>
    <w:rsid w:val="00F112D0"/>
    <w:rsid w:val="00F11B14"/>
    <w:rsid w:val="00F12059"/>
    <w:rsid w:val="00F1209B"/>
    <w:rsid w:val="00F120D2"/>
    <w:rsid w:val="00F12599"/>
    <w:rsid w:val="00F128B4"/>
    <w:rsid w:val="00F128FF"/>
    <w:rsid w:val="00F12AA1"/>
    <w:rsid w:val="00F12AAD"/>
    <w:rsid w:val="00F12E60"/>
    <w:rsid w:val="00F13033"/>
    <w:rsid w:val="00F13751"/>
    <w:rsid w:val="00F13A86"/>
    <w:rsid w:val="00F14D4A"/>
    <w:rsid w:val="00F16C15"/>
    <w:rsid w:val="00F16FA8"/>
    <w:rsid w:val="00F1731C"/>
    <w:rsid w:val="00F20666"/>
    <w:rsid w:val="00F214CB"/>
    <w:rsid w:val="00F21CDC"/>
    <w:rsid w:val="00F21E20"/>
    <w:rsid w:val="00F24371"/>
    <w:rsid w:val="00F24495"/>
    <w:rsid w:val="00F249F2"/>
    <w:rsid w:val="00F24CBE"/>
    <w:rsid w:val="00F2594C"/>
    <w:rsid w:val="00F262CC"/>
    <w:rsid w:val="00F27946"/>
    <w:rsid w:val="00F305A4"/>
    <w:rsid w:val="00F30816"/>
    <w:rsid w:val="00F311FC"/>
    <w:rsid w:val="00F31254"/>
    <w:rsid w:val="00F3163F"/>
    <w:rsid w:val="00F31672"/>
    <w:rsid w:val="00F319A7"/>
    <w:rsid w:val="00F31A35"/>
    <w:rsid w:val="00F325E7"/>
    <w:rsid w:val="00F327E7"/>
    <w:rsid w:val="00F33785"/>
    <w:rsid w:val="00F3394F"/>
    <w:rsid w:val="00F34049"/>
    <w:rsid w:val="00F34491"/>
    <w:rsid w:val="00F345C5"/>
    <w:rsid w:val="00F347E5"/>
    <w:rsid w:val="00F355F8"/>
    <w:rsid w:val="00F35A11"/>
    <w:rsid w:val="00F35DEE"/>
    <w:rsid w:val="00F361AE"/>
    <w:rsid w:val="00F37065"/>
    <w:rsid w:val="00F409D6"/>
    <w:rsid w:val="00F40B82"/>
    <w:rsid w:val="00F423A5"/>
    <w:rsid w:val="00F43737"/>
    <w:rsid w:val="00F43FDE"/>
    <w:rsid w:val="00F440F4"/>
    <w:rsid w:val="00F4432A"/>
    <w:rsid w:val="00F44999"/>
    <w:rsid w:val="00F45B42"/>
    <w:rsid w:val="00F45F7E"/>
    <w:rsid w:val="00F46D28"/>
    <w:rsid w:val="00F478F8"/>
    <w:rsid w:val="00F51261"/>
    <w:rsid w:val="00F51D07"/>
    <w:rsid w:val="00F520CE"/>
    <w:rsid w:val="00F53502"/>
    <w:rsid w:val="00F53CE7"/>
    <w:rsid w:val="00F540BC"/>
    <w:rsid w:val="00F54F5D"/>
    <w:rsid w:val="00F5634D"/>
    <w:rsid w:val="00F568E1"/>
    <w:rsid w:val="00F568E7"/>
    <w:rsid w:val="00F572E5"/>
    <w:rsid w:val="00F573F0"/>
    <w:rsid w:val="00F57605"/>
    <w:rsid w:val="00F5763F"/>
    <w:rsid w:val="00F5777E"/>
    <w:rsid w:val="00F60309"/>
    <w:rsid w:val="00F60775"/>
    <w:rsid w:val="00F609C8"/>
    <w:rsid w:val="00F60B66"/>
    <w:rsid w:val="00F61741"/>
    <w:rsid w:val="00F61F05"/>
    <w:rsid w:val="00F61F60"/>
    <w:rsid w:val="00F62615"/>
    <w:rsid w:val="00F62B1A"/>
    <w:rsid w:val="00F63038"/>
    <w:rsid w:val="00F6335F"/>
    <w:rsid w:val="00F63878"/>
    <w:rsid w:val="00F639C4"/>
    <w:rsid w:val="00F63FAC"/>
    <w:rsid w:val="00F64105"/>
    <w:rsid w:val="00F64683"/>
    <w:rsid w:val="00F647FE"/>
    <w:rsid w:val="00F64A8E"/>
    <w:rsid w:val="00F64E60"/>
    <w:rsid w:val="00F65143"/>
    <w:rsid w:val="00F65588"/>
    <w:rsid w:val="00F6590D"/>
    <w:rsid w:val="00F660A6"/>
    <w:rsid w:val="00F6636B"/>
    <w:rsid w:val="00F674D4"/>
    <w:rsid w:val="00F677FD"/>
    <w:rsid w:val="00F7046A"/>
    <w:rsid w:val="00F70882"/>
    <w:rsid w:val="00F709DA"/>
    <w:rsid w:val="00F70FEB"/>
    <w:rsid w:val="00F714B2"/>
    <w:rsid w:val="00F71EBE"/>
    <w:rsid w:val="00F723C1"/>
    <w:rsid w:val="00F72579"/>
    <w:rsid w:val="00F7274F"/>
    <w:rsid w:val="00F73069"/>
    <w:rsid w:val="00F732BC"/>
    <w:rsid w:val="00F73578"/>
    <w:rsid w:val="00F744E4"/>
    <w:rsid w:val="00F75875"/>
    <w:rsid w:val="00F75A0D"/>
    <w:rsid w:val="00F75E36"/>
    <w:rsid w:val="00F75E84"/>
    <w:rsid w:val="00F763B1"/>
    <w:rsid w:val="00F76518"/>
    <w:rsid w:val="00F7696E"/>
    <w:rsid w:val="00F77662"/>
    <w:rsid w:val="00F776B1"/>
    <w:rsid w:val="00F777B5"/>
    <w:rsid w:val="00F806B2"/>
    <w:rsid w:val="00F81AB1"/>
    <w:rsid w:val="00F81ADE"/>
    <w:rsid w:val="00F82043"/>
    <w:rsid w:val="00F825DC"/>
    <w:rsid w:val="00F82630"/>
    <w:rsid w:val="00F82A33"/>
    <w:rsid w:val="00F83EA4"/>
    <w:rsid w:val="00F848E0"/>
    <w:rsid w:val="00F84F62"/>
    <w:rsid w:val="00F85498"/>
    <w:rsid w:val="00F8617A"/>
    <w:rsid w:val="00F866EC"/>
    <w:rsid w:val="00F8688D"/>
    <w:rsid w:val="00F87487"/>
    <w:rsid w:val="00F87ED1"/>
    <w:rsid w:val="00F9032C"/>
    <w:rsid w:val="00F90A45"/>
    <w:rsid w:val="00F911AD"/>
    <w:rsid w:val="00F91F04"/>
    <w:rsid w:val="00F920D6"/>
    <w:rsid w:val="00F9257A"/>
    <w:rsid w:val="00F93903"/>
    <w:rsid w:val="00F93B5C"/>
    <w:rsid w:val="00F94BEF"/>
    <w:rsid w:val="00F964AB"/>
    <w:rsid w:val="00F965A4"/>
    <w:rsid w:val="00F97015"/>
    <w:rsid w:val="00F970F8"/>
    <w:rsid w:val="00F9710C"/>
    <w:rsid w:val="00F97D66"/>
    <w:rsid w:val="00FA0284"/>
    <w:rsid w:val="00FA0D98"/>
    <w:rsid w:val="00FA1D12"/>
    <w:rsid w:val="00FA20FA"/>
    <w:rsid w:val="00FA37A7"/>
    <w:rsid w:val="00FA3E70"/>
    <w:rsid w:val="00FA3F5D"/>
    <w:rsid w:val="00FA49F7"/>
    <w:rsid w:val="00FA542A"/>
    <w:rsid w:val="00FA56BF"/>
    <w:rsid w:val="00FA5BC3"/>
    <w:rsid w:val="00FA5CD0"/>
    <w:rsid w:val="00FA5EB2"/>
    <w:rsid w:val="00FA67D3"/>
    <w:rsid w:val="00FA6D88"/>
    <w:rsid w:val="00FA72DC"/>
    <w:rsid w:val="00FA7776"/>
    <w:rsid w:val="00FA79B6"/>
    <w:rsid w:val="00FA7C86"/>
    <w:rsid w:val="00FA7FDB"/>
    <w:rsid w:val="00FB0012"/>
    <w:rsid w:val="00FB0279"/>
    <w:rsid w:val="00FB0559"/>
    <w:rsid w:val="00FB0726"/>
    <w:rsid w:val="00FB0775"/>
    <w:rsid w:val="00FB0B86"/>
    <w:rsid w:val="00FB1261"/>
    <w:rsid w:val="00FB1FFF"/>
    <w:rsid w:val="00FB20E3"/>
    <w:rsid w:val="00FB2398"/>
    <w:rsid w:val="00FB2A73"/>
    <w:rsid w:val="00FB2ADC"/>
    <w:rsid w:val="00FB348C"/>
    <w:rsid w:val="00FB34F2"/>
    <w:rsid w:val="00FB37D2"/>
    <w:rsid w:val="00FB5204"/>
    <w:rsid w:val="00FB6664"/>
    <w:rsid w:val="00FB6A48"/>
    <w:rsid w:val="00FB6D19"/>
    <w:rsid w:val="00FB70A8"/>
    <w:rsid w:val="00FB7CAC"/>
    <w:rsid w:val="00FB7ED0"/>
    <w:rsid w:val="00FC0BA3"/>
    <w:rsid w:val="00FC0FA1"/>
    <w:rsid w:val="00FC215E"/>
    <w:rsid w:val="00FC2C6F"/>
    <w:rsid w:val="00FC2E19"/>
    <w:rsid w:val="00FC2E5B"/>
    <w:rsid w:val="00FC3107"/>
    <w:rsid w:val="00FC3256"/>
    <w:rsid w:val="00FC3636"/>
    <w:rsid w:val="00FC38C9"/>
    <w:rsid w:val="00FC41AA"/>
    <w:rsid w:val="00FC4C32"/>
    <w:rsid w:val="00FC513E"/>
    <w:rsid w:val="00FC56B9"/>
    <w:rsid w:val="00FC6001"/>
    <w:rsid w:val="00FC64B7"/>
    <w:rsid w:val="00FC683F"/>
    <w:rsid w:val="00FC6FB2"/>
    <w:rsid w:val="00FC72EE"/>
    <w:rsid w:val="00FC7AFB"/>
    <w:rsid w:val="00FC7B86"/>
    <w:rsid w:val="00FD0D2C"/>
    <w:rsid w:val="00FD1198"/>
    <w:rsid w:val="00FD11EF"/>
    <w:rsid w:val="00FD2228"/>
    <w:rsid w:val="00FD2564"/>
    <w:rsid w:val="00FD290B"/>
    <w:rsid w:val="00FD3BDE"/>
    <w:rsid w:val="00FD4622"/>
    <w:rsid w:val="00FD46FC"/>
    <w:rsid w:val="00FD5A7A"/>
    <w:rsid w:val="00FD6074"/>
    <w:rsid w:val="00FD6C1B"/>
    <w:rsid w:val="00FD7EBE"/>
    <w:rsid w:val="00FE14BD"/>
    <w:rsid w:val="00FE14D6"/>
    <w:rsid w:val="00FE27C8"/>
    <w:rsid w:val="00FE35B8"/>
    <w:rsid w:val="00FE3E43"/>
    <w:rsid w:val="00FE4D34"/>
    <w:rsid w:val="00FE5463"/>
    <w:rsid w:val="00FE5C49"/>
    <w:rsid w:val="00FE613B"/>
    <w:rsid w:val="00FE6AFE"/>
    <w:rsid w:val="00FE6E33"/>
    <w:rsid w:val="00FF059D"/>
    <w:rsid w:val="00FF0D4F"/>
    <w:rsid w:val="00FF1A76"/>
    <w:rsid w:val="00FF35D8"/>
    <w:rsid w:val="00FF3632"/>
    <w:rsid w:val="00FF37CE"/>
    <w:rsid w:val="00FF4B28"/>
    <w:rsid w:val="00FF51FF"/>
    <w:rsid w:val="00FF550D"/>
    <w:rsid w:val="00FF5569"/>
    <w:rsid w:val="00FF64E9"/>
    <w:rsid w:val="01A324E9"/>
    <w:rsid w:val="021A6C4F"/>
    <w:rsid w:val="03351FD0"/>
    <w:rsid w:val="04CC1D57"/>
    <w:rsid w:val="04CC3B82"/>
    <w:rsid w:val="054D2E98"/>
    <w:rsid w:val="055747B6"/>
    <w:rsid w:val="05CD5D86"/>
    <w:rsid w:val="05EC0902"/>
    <w:rsid w:val="06352E5D"/>
    <w:rsid w:val="07765C06"/>
    <w:rsid w:val="080C0DE8"/>
    <w:rsid w:val="080D3A18"/>
    <w:rsid w:val="0887133B"/>
    <w:rsid w:val="09410F65"/>
    <w:rsid w:val="099827F1"/>
    <w:rsid w:val="09FE29B2"/>
    <w:rsid w:val="0A2B1C2D"/>
    <w:rsid w:val="0A7C4398"/>
    <w:rsid w:val="0B28554F"/>
    <w:rsid w:val="0B3267EA"/>
    <w:rsid w:val="0C686809"/>
    <w:rsid w:val="0CA77331"/>
    <w:rsid w:val="0CB11F5E"/>
    <w:rsid w:val="0CD3793A"/>
    <w:rsid w:val="0D1029A7"/>
    <w:rsid w:val="0D630873"/>
    <w:rsid w:val="0DB53CD0"/>
    <w:rsid w:val="0E45076E"/>
    <w:rsid w:val="0F653DCC"/>
    <w:rsid w:val="116152A9"/>
    <w:rsid w:val="11F34DC7"/>
    <w:rsid w:val="12D9220E"/>
    <w:rsid w:val="13092B92"/>
    <w:rsid w:val="13B87852"/>
    <w:rsid w:val="151E4D21"/>
    <w:rsid w:val="16515DFD"/>
    <w:rsid w:val="165A5414"/>
    <w:rsid w:val="17231CAA"/>
    <w:rsid w:val="178070FD"/>
    <w:rsid w:val="18821C14"/>
    <w:rsid w:val="19500899"/>
    <w:rsid w:val="1BDC68CC"/>
    <w:rsid w:val="1C4921B3"/>
    <w:rsid w:val="1CA20329"/>
    <w:rsid w:val="1D6923CA"/>
    <w:rsid w:val="1ECF0ED1"/>
    <w:rsid w:val="1EDE0112"/>
    <w:rsid w:val="1F536EA5"/>
    <w:rsid w:val="1FD863D3"/>
    <w:rsid w:val="205C655A"/>
    <w:rsid w:val="209122D7"/>
    <w:rsid w:val="211E264E"/>
    <w:rsid w:val="213A656E"/>
    <w:rsid w:val="227F111B"/>
    <w:rsid w:val="2355143D"/>
    <w:rsid w:val="23D057F4"/>
    <w:rsid w:val="2403489A"/>
    <w:rsid w:val="25034EC9"/>
    <w:rsid w:val="26461511"/>
    <w:rsid w:val="275B201F"/>
    <w:rsid w:val="28180C8B"/>
    <w:rsid w:val="28942A08"/>
    <w:rsid w:val="2B1971F4"/>
    <w:rsid w:val="2B7663F5"/>
    <w:rsid w:val="2C5129BE"/>
    <w:rsid w:val="2C631824"/>
    <w:rsid w:val="2D7660C7"/>
    <w:rsid w:val="2DB4665E"/>
    <w:rsid w:val="2E0F48DF"/>
    <w:rsid w:val="2E7A3B48"/>
    <w:rsid w:val="2E7D0EDA"/>
    <w:rsid w:val="2ED81174"/>
    <w:rsid w:val="2F3A598B"/>
    <w:rsid w:val="2F974B8C"/>
    <w:rsid w:val="2FD47B8E"/>
    <w:rsid w:val="3038636F"/>
    <w:rsid w:val="31684A32"/>
    <w:rsid w:val="31C467DD"/>
    <w:rsid w:val="3222001D"/>
    <w:rsid w:val="32C043F9"/>
    <w:rsid w:val="33641229"/>
    <w:rsid w:val="350760CA"/>
    <w:rsid w:val="35BC534C"/>
    <w:rsid w:val="36370758"/>
    <w:rsid w:val="36EE7787"/>
    <w:rsid w:val="37342324"/>
    <w:rsid w:val="38EF6DE0"/>
    <w:rsid w:val="395C22D2"/>
    <w:rsid w:val="3971636D"/>
    <w:rsid w:val="39F97EAD"/>
    <w:rsid w:val="3A353322"/>
    <w:rsid w:val="3AB41B25"/>
    <w:rsid w:val="3DE73182"/>
    <w:rsid w:val="3EC61E5D"/>
    <w:rsid w:val="3EE445A4"/>
    <w:rsid w:val="40C8729B"/>
    <w:rsid w:val="40FC0CF2"/>
    <w:rsid w:val="41C972D4"/>
    <w:rsid w:val="41F07B93"/>
    <w:rsid w:val="427E69D9"/>
    <w:rsid w:val="42BF5A2B"/>
    <w:rsid w:val="42F5286D"/>
    <w:rsid w:val="43544E16"/>
    <w:rsid w:val="4369677A"/>
    <w:rsid w:val="448A3361"/>
    <w:rsid w:val="45BB3A56"/>
    <w:rsid w:val="4610467C"/>
    <w:rsid w:val="467E78DB"/>
    <w:rsid w:val="47264D1B"/>
    <w:rsid w:val="47B42327"/>
    <w:rsid w:val="48C36E4C"/>
    <w:rsid w:val="48CD5DE1"/>
    <w:rsid w:val="48F432E3"/>
    <w:rsid w:val="48FE2B45"/>
    <w:rsid w:val="4957740E"/>
    <w:rsid w:val="4A4139A6"/>
    <w:rsid w:val="4A844BC9"/>
    <w:rsid w:val="4A875AD1"/>
    <w:rsid w:val="4A9165B3"/>
    <w:rsid w:val="4AFE6135"/>
    <w:rsid w:val="4B833B67"/>
    <w:rsid w:val="4B981DE7"/>
    <w:rsid w:val="4BA95F1B"/>
    <w:rsid w:val="4BE67117"/>
    <w:rsid w:val="4C673E0C"/>
    <w:rsid w:val="4CA67035"/>
    <w:rsid w:val="4D05479C"/>
    <w:rsid w:val="4D1E1E14"/>
    <w:rsid w:val="4D5B5C6C"/>
    <w:rsid w:val="4E1F2262"/>
    <w:rsid w:val="4FE97AFE"/>
    <w:rsid w:val="512D73B4"/>
    <w:rsid w:val="51FE16B4"/>
    <w:rsid w:val="524977CF"/>
    <w:rsid w:val="52903990"/>
    <w:rsid w:val="52CA4906"/>
    <w:rsid w:val="533C4818"/>
    <w:rsid w:val="535A5604"/>
    <w:rsid w:val="53D70B99"/>
    <w:rsid w:val="53DB0C3B"/>
    <w:rsid w:val="540D73CC"/>
    <w:rsid w:val="54F63CE1"/>
    <w:rsid w:val="563478EE"/>
    <w:rsid w:val="56BD4969"/>
    <w:rsid w:val="57A852D8"/>
    <w:rsid w:val="588B6A98"/>
    <w:rsid w:val="58BA52C3"/>
    <w:rsid w:val="58BF0B2C"/>
    <w:rsid w:val="58D97E3F"/>
    <w:rsid w:val="58E467E4"/>
    <w:rsid w:val="5A8641D8"/>
    <w:rsid w:val="5ABC11CE"/>
    <w:rsid w:val="5ADF7263"/>
    <w:rsid w:val="5B0E5C31"/>
    <w:rsid w:val="5BAA5AC3"/>
    <w:rsid w:val="5C997282"/>
    <w:rsid w:val="5D697293"/>
    <w:rsid w:val="5DD462BD"/>
    <w:rsid w:val="5E0506B2"/>
    <w:rsid w:val="5F4973A1"/>
    <w:rsid w:val="5FF84B6D"/>
    <w:rsid w:val="61706E67"/>
    <w:rsid w:val="61B15A2B"/>
    <w:rsid w:val="61BA0FC3"/>
    <w:rsid w:val="61F61C17"/>
    <w:rsid w:val="62937E5C"/>
    <w:rsid w:val="62C50818"/>
    <w:rsid w:val="63050870"/>
    <w:rsid w:val="636321FA"/>
    <w:rsid w:val="636B2002"/>
    <w:rsid w:val="63B30102"/>
    <w:rsid w:val="63F17C15"/>
    <w:rsid w:val="641A130C"/>
    <w:rsid w:val="642168B0"/>
    <w:rsid w:val="644B7717"/>
    <w:rsid w:val="65075D34"/>
    <w:rsid w:val="65AF633F"/>
    <w:rsid w:val="662C4667"/>
    <w:rsid w:val="673071EF"/>
    <w:rsid w:val="67D3135C"/>
    <w:rsid w:val="692D21E8"/>
    <w:rsid w:val="69456E2B"/>
    <w:rsid w:val="69577BD2"/>
    <w:rsid w:val="69752881"/>
    <w:rsid w:val="69A73642"/>
    <w:rsid w:val="69B51376"/>
    <w:rsid w:val="6A4C44A0"/>
    <w:rsid w:val="6AE61EE7"/>
    <w:rsid w:val="6CE55141"/>
    <w:rsid w:val="6D4E2460"/>
    <w:rsid w:val="6E5E6B10"/>
    <w:rsid w:val="6EF03BBE"/>
    <w:rsid w:val="6F4F5AF6"/>
    <w:rsid w:val="6F60676D"/>
    <w:rsid w:val="6F6817EF"/>
    <w:rsid w:val="711F7F62"/>
    <w:rsid w:val="71D15A35"/>
    <w:rsid w:val="72CC5EC7"/>
    <w:rsid w:val="733E36E6"/>
    <w:rsid w:val="73916668"/>
    <w:rsid w:val="7452064E"/>
    <w:rsid w:val="74B310ED"/>
    <w:rsid w:val="74BF3F35"/>
    <w:rsid w:val="74C432FA"/>
    <w:rsid w:val="74D35842"/>
    <w:rsid w:val="74E514C2"/>
    <w:rsid w:val="74EC45FF"/>
    <w:rsid w:val="753235C1"/>
    <w:rsid w:val="755D6E4A"/>
    <w:rsid w:val="75A83687"/>
    <w:rsid w:val="75D752AF"/>
    <w:rsid w:val="76360227"/>
    <w:rsid w:val="77A165F9"/>
    <w:rsid w:val="77D31AA6"/>
    <w:rsid w:val="7A9B2D4F"/>
    <w:rsid w:val="7B2A5E81"/>
    <w:rsid w:val="7C3B0B52"/>
    <w:rsid w:val="7D1676B7"/>
    <w:rsid w:val="7D45685F"/>
    <w:rsid w:val="7E493C7B"/>
    <w:rsid w:val="7ECF2FC7"/>
    <w:rsid w:val="7F7A2D6C"/>
    <w:rsid w:val="7FA3787E"/>
    <w:rsid w:val="7FB14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0" w:semiHidden="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adjustRightInd w:val="0"/>
      <w:snapToGrid w:val="0"/>
      <w:spacing w:line="360" w:lineRule="auto"/>
      <w:outlineLvl w:val="0"/>
    </w:pPr>
    <w:rPr>
      <w:b/>
      <w:kern w:val="44"/>
      <w:sz w:val="32"/>
    </w:rPr>
  </w:style>
  <w:style w:type="paragraph" w:styleId="3">
    <w:name w:val="heading 2"/>
    <w:basedOn w:val="1"/>
    <w:next w:val="1"/>
    <w:link w:val="326"/>
    <w:qFormat/>
    <w:uiPriority w:val="0"/>
    <w:pPr>
      <w:keepNext/>
      <w:keepLines/>
      <w:spacing w:before="20" w:after="20" w:line="360" w:lineRule="auto"/>
      <w:outlineLvl w:val="1"/>
    </w:pPr>
    <w:rPr>
      <w:rFonts w:ascii="宋体" w:hAnsi="宋体"/>
      <w:b/>
      <w:sz w:val="28"/>
    </w:rPr>
  </w:style>
  <w:style w:type="paragraph" w:styleId="4">
    <w:name w:val="heading 3"/>
    <w:basedOn w:val="1"/>
    <w:next w:val="5"/>
    <w:link w:val="253"/>
    <w:autoRedefine/>
    <w:qFormat/>
    <w:uiPriority w:val="0"/>
    <w:pPr>
      <w:keepNext/>
      <w:keepLines/>
      <w:snapToGrid w:val="0"/>
      <w:spacing w:before="20" w:after="20" w:line="360" w:lineRule="auto"/>
      <w:outlineLvl w:val="2"/>
    </w:pPr>
    <w:rPr>
      <w:rFonts w:ascii="宋体" w:hAnsi="宋体"/>
      <w:b/>
      <w:sz w:val="24"/>
    </w:rPr>
  </w:style>
  <w:style w:type="paragraph" w:styleId="6">
    <w:name w:val="heading 4"/>
    <w:basedOn w:val="1"/>
    <w:next w:val="5"/>
    <w:link w:val="255"/>
    <w:autoRedefine/>
    <w:qFormat/>
    <w:uiPriority w:val="0"/>
    <w:pPr>
      <w:keepNext/>
      <w:spacing w:line="360" w:lineRule="auto"/>
      <w:jc w:val="left"/>
      <w:outlineLvl w:val="3"/>
    </w:pPr>
    <w:rPr>
      <w:rFonts w:ascii="楷体_GB2312"/>
      <w:b/>
      <w:sz w:val="24"/>
    </w:rPr>
  </w:style>
  <w:style w:type="paragraph" w:styleId="7">
    <w:name w:val="heading 5"/>
    <w:basedOn w:val="1"/>
    <w:next w:val="1"/>
    <w:link w:val="256"/>
    <w:autoRedefine/>
    <w:qFormat/>
    <w:uiPriority w:val="0"/>
    <w:pPr>
      <w:widowControl/>
      <w:tabs>
        <w:tab w:val="left" w:pos="709"/>
        <w:tab w:val="left" w:pos="1560"/>
        <w:tab w:val="left" w:pos="3240"/>
      </w:tabs>
      <w:spacing w:before="240" w:after="156" w:afterLines="50"/>
      <w:ind w:left="3240" w:hanging="720"/>
      <w:outlineLvl w:val="4"/>
    </w:pPr>
    <w:rPr>
      <w:rFonts w:ascii="Arial" w:hAnsi="Arial"/>
      <w:kern w:val="0"/>
      <w:sz w:val="22"/>
    </w:rPr>
  </w:style>
  <w:style w:type="paragraph" w:styleId="8">
    <w:name w:val="heading 6"/>
    <w:basedOn w:val="1"/>
    <w:next w:val="1"/>
    <w:link w:val="257"/>
    <w:autoRedefine/>
    <w:qFormat/>
    <w:uiPriority w:val="0"/>
    <w:pPr>
      <w:widowControl/>
      <w:tabs>
        <w:tab w:val="left" w:pos="709"/>
        <w:tab w:val="left" w:pos="1560"/>
        <w:tab w:val="left" w:pos="3360"/>
      </w:tabs>
      <w:spacing w:before="240" w:after="156" w:afterLines="50"/>
      <w:ind w:left="3360" w:hanging="420"/>
      <w:outlineLvl w:val="5"/>
    </w:pPr>
    <w:rPr>
      <w:rFonts w:hAnsi="Arial"/>
      <w:i/>
      <w:kern w:val="0"/>
      <w:sz w:val="22"/>
    </w:rPr>
  </w:style>
  <w:style w:type="paragraph" w:styleId="9">
    <w:name w:val="heading 7"/>
    <w:basedOn w:val="1"/>
    <w:next w:val="1"/>
    <w:link w:val="258"/>
    <w:autoRedefine/>
    <w:qFormat/>
    <w:uiPriority w:val="0"/>
    <w:pPr>
      <w:widowControl/>
      <w:tabs>
        <w:tab w:val="left" w:pos="709"/>
        <w:tab w:val="left" w:pos="1560"/>
        <w:tab w:val="left" w:pos="3780"/>
      </w:tabs>
      <w:spacing w:before="240" w:after="156" w:afterLines="50"/>
      <w:ind w:left="3780" w:hanging="420"/>
      <w:outlineLvl w:val="6"/>
    </w:pPr>
    <w:rPr>
      <w:rFonts w:ascii="Arial" w:hAnsi="Arial"/>
      <w:kern w:val="0"/>
      <w:sz w:val="20"/>
    </w:rPr>
  </w:style>
  <w:style w:type="paragraph" w:styleId="10">
    <w:name w:val="heading 8"/>
    <w:basedOn w:val="1"/>
    <w:next w:val="1"/>
    <w:link w:val="259"/>
    <w:autoRedefine/>
    <w:qFormat/>
    <w:uiPriority w:val="0"/>
    <w:pPr>
      <w:widowControl/>
      <w:tabs>
        <w:tab w:val="left" w:pos="709"/>
        <w:tab w:val="left" w:pos="1560"/>
        <w:tab w:val="left" w:pos="4200"/>
      </w:tabs>
      <w:spacing w:before="240" w:after="156" w:afterLines="50"/>
      <w:ind w:left="4200" w:hanging="420"/>
      <w:outlineLvl w:val="7"/>
    </w:pPr>
    <w:rPr>
      <w:rFonts w:ascii="Arial" w:hAnsi="Arial"/>
      <w:i/>
      <w:kern w:val="0"/>
      <w:sz w:val="20"/>
    </w:rPr>
  </w:style>
  <w:style w:type="paragraph" w:styleId="11">
    <w:name w:val="heading 9"/>
    <w:basedOn w:val="1"/>
    <w:next w:val="1"/>
    <w:link w:val="260"/>
    <w:autoRedefine/>
    <w:qFormat/>
    <w:uiPriority w:val="0"/>
    <w:pPr>
      <w:widowControl/>
      <w:tabs>
        <w:tab w:val="left" w:pos="709"/>
        <w:tab w:val="left" w:pos="1560"/>
        <w:tab w:val="left" w:pos="4620"/>
      </w:tabs>
      <w:spacing w:before="240" w:after="156" w:afterLines="50"/>
      <w:ind w:left="4620" w:hanging="420"/>
      <w:outlineLvl w:val="8"/>
    </w:pPr>
    <w:rPr>
      <w:rFonts w:ascii="Arial" w:hAnsi="Arial"/>
      <w:b/>
      <w:i/>
      <w:kern w:val="0"/>
      <w:sz w:val="18"/>
    </w:rPr>
  </w:style>
  <w:style w:type="character" w:default="1" w:styleId="52">
    <w:name w:val="Default Paragraph Font"/>
    <w:autoRedefine/>
    <w:semiHidden/>
    <w:unhideWhenUsed/>
    <w:qFormat/>
    <w:uiPriority w:val="1"/>
  </w:style>
  <w:style w:type="table" w:default="1" w:styleId="50">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254"/>
    <w:autoRedefine/>
    <w:qFormat/>
    <w:uiPriority w:val="0"/>
    <w:pPr>
      <w:ind w:firstLine="420"/>
    </w:pPr>
  </w:style>
  <w:style w:type="paragraph" w:styleId="12">
    <w:name w:val="toc 7"/>
    <w:basedOn w:val="1"/>
    <w:next w:val="1"/>
    <w:autoRedefine/>
    <w:unhideWhenUsed/>
    <w:qFormat/>
    <w:uiPriority w:val="0"/>
    <w:pPr>
      <w:ind w:left="1260"/>
      <w:jc w:val="left"/>
    </w:pPr>
    <w:rPr>
      <w:rFonts w:asciiTheme="minorHAnsi" w:hAnsiTheme="minorHAnsi" w:cstheme="minorHAnsi"/>
      <w:sz w:val="18"/>
      <w:szCs w:val="18"/>
    </w:rPr>
  </w:style>
  <w:style w:type="paragraph" w:styleId="13">
    <w:name w:val="caption"/>
    <w:basedOn w:val="1"/>
    <w:next w:val="1"/>
    <w:autoRedefine/>
    <w:qFormat/>
    <w:uiPriority w:val="0"/>
    <w:rPr>
      <w:rFonts w:ascii="Arial" w:hAnsi="Arial" w:eastAsia="黑体" w:cs="Arial"/>
      <w:sz w:val="20"/>
    </w:rPr>
  </w:style>
  <w:style w:type="paragraph" w:styleId="14">
    <w:name w:val="List Bullet"/>
    <w:basedOn w:val="1"/>
    <w:autoRedefine/>
    <w:qFormat/>
    <w:uiPriority w:val="0"/>
    <w:pPr>
      <w:tabs>
        <w:tab w:val="left" w:pos="358"/>
        <w:tab w:val="left" w:pos="420"/>
      </w:tabs>
      <w:autoSpaceDE w:val="0"/>
      <w:autoSpaceDN w:val="0"/>
      <w:adjustRightInd w:val="0"/>
      <w:snapToGrid w:val="0"/>
      <w:spacing w:line="360" w:lineRule="auto"/>
      <w:ind w:left="480" w:hanging="480" w:hangingChars="200"/>
      <w:textAlignment w:val="baseline"/>
    </w:pPr>
    <w:rPr>
      <w:rFonts w:ascii="宋体" w:hAnsi="Tms Rmn"/>
      <w:snapToGrid w:val="0"/>
      <w:color w:val="000000"/>
      <w:kern w:val="24"/>
      <w:sz w:val="24"/>
    </w:rPr>
  </w:style>
  <w:style w:type="paragraph" w:styleId="15">
    <w:name w:val="Document Map"/>
    <w:basedOn w:val="1"/>
    <w:link w:val="261"/>
    <w:autoRedefine/>
    <w:semiHidden/>
    <w:qFormat/>
    <w:uiPriority w:val="99"/>
    <w:pPr>
      <w:shd w:val="clear" w:color="auto" w:fill="000080"/>
    </w:pPr>
  </w:style>
  <w:style w:type="paragraph" w:styleId="16">
    <w:name w:val="toa heading"/>
    <w:basedOn w:val="1"/>
    <w:next w:val="1"/>
    <w:autoRedefine/>
    <w:qFormat/>
    <w:uiPriority w:val="0"/>
    <w:pPr>
      <w:spacing w:before="120"/>
    </w:pPr>
    <w:rPr>
      <w:rFonts w:ascii="Arial" w:hAnsi="Arial" w:cs="Arial"/>
      <w:sz w:val="24"/>
      <w:szCs w:val="24"/>
    </w:rPr>
  </w:style>
  <w:style w:type="paragraph" w:styleId="17">
    <w:name w:val="annotation text"/>
    <w:basedOn w:val="1"/>
    <w:link w:val="262"/>
    <w:autoRedefine/>
    <w:qFormat/>
    <w:uiPriority w:val="0"/>
    <w:pPr>
      <w:jc w:val="left"/>
    </w:pPr>
    <w:rPr>
      <w:szCs w:val="24"/>
    </w:rPr>
  </w:style>
  <w:style w:type="paragraph" w:styleId="18">
    <w:name w:val="index 6"/>
    <w:next w:val="1"/>
    <w:autoRedefine/>
    <w:qFormat/>
    <w:uiPriority w:val="0"/>
    <w:pPr>
      <w:jc w:val="both"/>
    </w:pPr>
    <w:rPr>
      <w:rFonts w:ascii="Times New Roman" w:hAnsi="Times New Roman" w:eastAsia="宋体" w:cs="Times New Roman"/>
      <w:sz w:val="21"/>
      <w:szCs w:val="24"/>
      <w:lang w:val="en-US" w:eastAsia="zh-CN" w:bidi="ar-SA"/>
    </w:rPr>
  </w:style>
  <w:style w:type="paragraph" w:styleId="19">
    <w:name w:val="Body Text 3"/>
    <w:basedOn w:val="1"/>
    <w:autoRedefine/>
    <w:qFormat/>
    <w:uiPriority w:val="0"/>
    <w:pPr>
      <w:spacing w:line="480" w:lineRule="exact"/>
    </w:pPr>
    <w:rPr>
      <w:rFonts w:ascii="宋体" w:hAnsi="宋体"/>
      <w:sz w:val="24"/>
    </w:rPr>
  </w:style>
  <w:style w:type="paragraph" w:styleId="20">
    <w:name w:val="List Bullet 3"/>
    <w:basedOn w:val="1"/>
    <w:autoRedefine/>
    <w:qFormat/>
    <w:uiPriority w:val="0"/>
    <w:pPr>
      <w:tabs>
        <w:tab w:val="left" w:pos="905"/>
        <w:tab w:val="left" w:pos="1560"/>
      </w:tabs>
      <w:ind w:left="905" w:hanging="1080"/>
    </w:pPr>
    <w:rPr>
      <w:sz w:val="24"/>
    </w:rPr>
  </w:style>
  <w:style w:type="paragraph" w:styleId="21">
    <w:name w:val="Body Text"/>
    <w:basedOn w:val="1"/>
    <w:link w:val="263"/>
    <w:autoRedefine/>
    <w:qFormat/>
    <w:uiPriority w:val="0"/>
    <w:pPr>
      <w:spacing w:line="480" w:lineRule="atLeast"/>
    </w:pPr>
    <w:rPr>
      <w:rFonts w:ascii="楷体_GB2312" w:eastAsia="楷体_GB2312"/>
      <w:b/>
      <w:sz w:val="30"/>
    </w:rPr>
  </w:style>
  <w:style w:type="paragraph" w:styleId="22">
    <w:name w:val="Body Text Indent"/>
    <w:basedOn w:val="1"/>
    <w:link w:val="264"/>
    <w:autoRedefine/>
    <w:qFormat/>
    <w:uiPriority w:val="0"/>
    <w:pPr>
      <w:ind w:firstLine="700" w:firstLineChars="250"/>
    </w:pPr>
    <w:rPr>
      <w:rFonts w:ascii="楷体_GB2312" w:hAnsi="宋体" w:eastAsia="楷体_GB2312"/>
      <w:sz w:val="28"/>
    </w:rPr>
  </w:style>
  <w:style w:type="paragraph" w:styleId="23">
    <w:name w:val="toc 5"/>
    <w:basedOn w:val="1"/>
    <w:next w:val="1"/>
    <w:autoRedefine/>
    <w:unhideWhenUsed/>
    <w:qFormat/>
    <w:uiPriority w:val="0"/>
    <w:pPr>
      <w:ind w:left="840"/>
      <w:jc w:val="left"/>
    </w:pPr>
    <w:rPr>
      <w:rFonts w:asciiTheme="minorHAnsi" w:hAnsiTheme="minorHAnsi" w:cstheme="minorHAnsi"/>
      <w:sz w:val="18"/>
      <w:szCs w:val="18"/>
    </w:rPr>
  </w:style>
  <w:style w:type="paragraph" w:styleId="24">
    <w:name w:val="toc 3"/>
    <w:basedOn w:val="1"/>
    <w:next w:val="1"/>
    <w:autoRedefine/>
    <w:qFormat/>
    <w:uiPriority w:val="39"/>
    <w:pPr>
      <w:ind w:left="420"/>
      <w:jc w:val="left"/>
    </w:pPr>
    <w:rPr>
      <w:rFonts w:asciiTheme="minorHAnsi" w:hAnsiTheme="minorHAnsi" w:cstheme="minorHAnsi"/>
      <w:i/>
      <w:iCs/>
      <w:sz w:val="20"/>
    </w:rPr>
  </w:style>
  <w:style w:type="paragraph" w:styleId="25">
    <w:name w:val="Plain Text"/>
    <w:basedOn w:val="1"/>
    <w:link w:val="265"/>
    <w:autoRedefine/>
    <w:qFormat/>
    <w:uiPriority w:val="0"/>
    <w:rPr>
      <w:rFonts w:ascii="宋体" w:hAnsi="Courier New"/>
    </w:rPr>
  </w:style>
  <w:style w:type="paragraph" w:styleId="26">
    <w:name w:val="toc 8"/>
    <w:basedOn w:val="1"/>
    <w:next w:val="1"/>
    <w:autoRedefine/>
    <w:qFormat/>
    <w:uiPriority w:val="0"/>
    <w:pPr>
      <w:ind w:left="1470"/>
      <w:jc w:val="left"/>
    </w:pPr>
    <w:rPr>
      <w:rFonts w:asciiTheme="minorHAnsi" w:hAnsiTheme="minorHAnsi" w:cstheme="minorHAnsi"/>
      <w:sz w:val="18"/>
      <w:szCs w:val="18"/>
    </w:rPr>
  </w:style>
  <w:style w:type="paragraph" w:styleId="27">
    <w:name w:val="Date"/>
    <w:basedOn w:val="1"/>
    <w:next w:val="1"/>
    <w:link w:val="266"/>
    <w:autoRedefine/>
    <w:qFormat/>
    <w:uiPriority w:val="0"/>
    <w:pPr>
      <w:autoSpaceDE w:val="0"/>
      <w:autoSpaceDN w:val="0"/>
      <w:adjustRightInd w:val="0"/>
      <w:spacing w:line="312" w:lineRule="atLeast"/>
      <w:textAlignment w:val="baseline"/>
    </w:pPr>
    <w:rPr>
      <w:kern w:val="0"/>
      <w:sz w:val="32"/>
    </w:rPr>
  </w:style>
  <w:style w:type="paragraph" w:styleId="28">
    <w:name w:val="Body Text Indent 2"/>
    <w:basedOn w:val="1"/>
    <w:autoRedefine/>
    <w:qFormat/>
    <w:uiPriority w:val="0"/>
    <w:pPr>
      <w:widowControl/>
      <w:ind w:left="840" w:hanging="840"/>
    </w:pPr>
    <w:rPr>
      <w:rFonts w:ascii="楷体_GB2312" w:eastAsia="楷体_GB2312"/>
      <w:sz w:val="28"/>
    </w:rPr>
  </w:style>
  <w:style w:type="paragraph" w:styleId="29">
    <w:name w:val="Balloon Text"/>
    <w:basedOn w:val="1"/>
    <w:link w:val="267"/>
    <w:autoRedefine/>
    <w:qFormat/>
    <w:uiPriority w:val="99"/>
    <w:rPr>
      <w:sz w:val="18"/>
      <w:szCs w:val="18"/>
    </w:rPr>
  </w:style>
  <w:style w:type="paragraph" w:styleId="30">
    <w:name w:val="footer"/>
    <w:basedOn w:val="1"/>
    <w:link w:val="268"/>
    <w:autoRedefine/>
    <w:qFormat/>
    <w:uiPriority w:val="99"/>
    <w:pPr>
      <w:tabs>
        <w:tab w:val="center" w:pos="4153"/>
        <w:tab w:val="right" w:pos="8306"/>
      </w:tabs>
      <w:snapToGrid w:val="0"/>
      <w:jc w:val="left"/>
    </w:pPr>
    <w:rPr>
      <w:sz w:val="18"/>
    </w:rPr>
  </w:style>
  <w:style w:type="paragraph" w:styleId="31">
    <w:name w:val="header"/>
    <w:basedOn w:val="1"/>
    <w:link w:val="269"/>
    <w:autoRedefine/>
    <w:qFormat/>
    <w:uiPriority w:val="99"/>
    <w:pPr>
      <w:pBdr>
        <w:bottom w:val="thinThickMediumGap" w:color="auto" w:sz="18" w:space="1"/>
      </w:pBdr>
      <w:tabs>
        <w:tab w:val="center" w:pos="4153"/>
        <w:tab w:val="right" w:pos="8306"/>
      </w:tabs>
      <w:snapToGrid w:val="0"/>
      <w:jc w:val="center"/>
    </w:pPr>
    <w:rPr>
      <w:sz w:val="18"/>
      <w:szCs w:val="18"/>
    </w:rPr>
  </w:style>
  <w:style w:type="paragraph" w:styleId="32">
    <w:name w:val="toc 1"/>
    <w:basedOn w:val="1"/>
    <w:next w:val="1"/>
    <w:autoRedefine/>
    <w:qFormat/>
    <w:uiPriority w:val="39"/>
    <w:pPr>
      <w:spacing w:before="120" w:after="120"/>
      <w:jc w:val="left"/>
    </w:pPr>
    <w:rPr>
      <w:rFonts w:asciiTheme="minorHAnsi" w:hAnsiTheme="minorHAnsi" w:cstheme="minorHAnsi"/>
      <w:b/>
      <w:bCs/>
      <w:caps/>
      <w:sz w:val="20"/>
    </w:rPr>
  </w:style>
  <w:style w:type="paragraph" w:styleId="33">
    <w:name w:val="toc 4"/>
    <w:basedOn w:val="1"/>
    <w:next w:val="1"/>
    <w:autoRedefine/>
    <w:unhideWhenUsed/>
    <w:qFormat/>
    <w:uiPriority w:val="0"/>
    <w:pPr>
      <w:ind w:left="630"/>
      <w:jc w:val="left"/>
    </w:pPr>
    <w:rPr>
      <w:rFonts w:asciiTheme="minorHAnsi" w:hAnsiTheme="minorHAnsi" w:cstheme="minorHAnsi"/>
      <w:sz w:val="18"/>
      <w:szCs w:val="18"/>
    </w:rPr>
  </w:style>
  <w:style w:type="paragraph" w:styleId="34">
    <w:name w:val="index heading"/>
    <w:basedOn w:val="1"/>
    <w:next w:val="35"/>
    <w:autoRedefine/>
    <w:qFormat/>
    <w:uiPriority w:val="0"/>
  </w:style>
  <w:style w:type="paragraph" w:styleId="35">
    <w:name w:val="index 1"/>
    <w:basedOn w:val="1"/>
    <w:next w:val="1"/>
    <w:autoRedefine/>
    <w:qFormat/>
    <w:uiPriority w:val="0"/>
    <w:pPr>
      <w:spacing w:line="360" w:lineRule="auto"/>
      <w:jc w:val="center"/>
    </w:pPr>
    <w:rPr>
      <w:rFonts w:ascii="宋体" w:hAnsi="宋体"/>
      <w:kern w:val="0"/>
      <w:szCs w:val="24"/>
    </w:rPr>
  </w:style>
  <w:style w:type="paragraph" w:styleId="36">
    <w:name w:val="List"/>
    <w:basedOn w:val="1"/>
    <w:autoRedefine/>
    <w:qFormat/>
    <w:uiPriority w:val="0"/>
    <w:pPr>
      <w:tabs>
        <w:tab w:val="left" w:pos="360"/>
        <w:tab w:val="left" w:pos="709"/>
      </w:tabs>
      <w:spacing w:line="300" w:lineRule="auto"/>
      <w:ind w:left="363" w:hanging="170"/>
    </w:pPr>
    <w:rPr>
      <w:spacing w:val="20"/>
    </w:rPr>
  </w:style>
  <w:style w:type="paragraph" w:styleId="37">
    <w:name w:val="footnote text"/>
    <w:basedOn w:val="1"/>
    <w:link w:val="270"/>
    <w:autoRedefine/>
    <w:qFormat/>
    <w:uiPriority w:val="0"/>
    <w:pPr>
      <w:snapToGrid w:val="0"/>
      <w:jc w:val="left"/>
    </w:pPr>
    <w:rPr>
      <w:sz w:val="18"/>
      <w:szCs w:val="18"/>
    </w:rPr>
  </w:style>
  <w:style w:type="paragraph" w:styleId="38">
    <w:name w:val="toc 6"/>
    <w:basedOn w:val="1"/>
    <w:next w:val="1"/>
    <w:autoRedefine/>
    <w:unhideWhenUsed/>
    <w:qFormat/>
    <w:uiPriority w:val="0"/>
    <w:pPr>
      <w:ind w:left="1050"/>
      <w:jc w:val="left"/>
    </w:pPr>
    <w:rPr>
      <w:rFonts w:asciiTheme="minorHAnsi" w:hAnsiTheme="minorHAnsi" w:cstheme="minorHAnsi"/>
      <w:sz w:val="18"/>
      <w:szCs w:val="18"/>
    </w:rPr>
  </w:style>
  <w:style w:type="paragraph" w:styleId="39">
    <w:name w:val="Body Text Indent 3"/>
    <w:basedOn w:val="1"/>
    <w:autoRedefine/>
    <w:qFormat/>
    <w:uiPriority w:val="0"/>
    <w:pPr>
      <w:spacing w:after="120"/>
      <w:ind w:left="420" w:leftChars="200"/>
    </w:pPr>
    <w:rPr>
      <w:sz w:val="16"/>
      <w:szCs w:val="16"/>
    </w:rPr>
  </w:style>
  <w:style w:type="paragraph" w:styleId="40">
    <w:name w:val="toc 2"/>
    <w:basedOn w:val="1"/>
    <w:next w:val="1"/>
    <w:autoRedefine/>
    <w:qFormat/>
    <w:uiPriority w:val="39"/>
    <w:pPr>
      <w:ind w:left="210"/>
      <w:jc w:val="left"/>
    </w:pPr>
    <w:rPr>
      <w:rFonts w:asciiTheme="minorHAnsi" w:hAnsiTheme="minorHAnsi" w:cstheme="minorHAnsi"/>
      <w:smallCaps/>
      <w:sz w:val="20"/>
    </w:rPr>
  </w:style>
  <w:style w:type="paragraph" w:styleId="41">
    <w:name w:val="toc 9"/>
    <w:basedOn w:val="1"/>
    <w:next w:val="1"/>
    <w:autoRedefine/>
    <w:unhideWhenUsed/>
    <w:qFormat/>
    <w:uiPriority w:val="0"/>
    <w:pPr>
      <w:ind w:left="1680"/>
      <w:jc w:val="left"/>
    </w:pPr>
    <w:rPr>
      <w:rFonts w:asciiTheme="minorHAnsi" w:hAnsiTheme="minorHAnsi" w:cstheme="minorHAnsi"/>
      <w:sz w:val="18"/>
      <w:szCs w:val="18"/>
    </w:rPr>
  </w:style>
  <w:style w:type="paragraph" w:styleId="42">
    <w:name w:val="Body Text 2"/>
    <w:basedOn w:val="1"/>
    <w:autoRedefine/>
    <w:qFormat/>
    <w:uiPriority w:val="0"/>
    <w:rPr>
      <w:rFonts w:eastAsia="楷体_GB2312"/>
      <w:sz w:val="28"/>
    </w:rPr>
  </w:style>
  <w:style w:type="paragraph" w:styleId="43">
    <w:name w:val="List Continue 2"/>
    <w:basedOn w:val="1"/>
    <w:autoRedefine/>
    <w:qFormat/>
    <w:uiPriority w:val="0"/>
    <w:pPr>
      <w:spacing w:after="120"/>
      <w:ind w:left="840" w:leftChars="400"/>
    </w:pPr>
    <w:rPr>
      <w:szCs w:val="24"/>
    </w:rPr>
  </w:style>
  <w:style w:type="paragraph" w:styleId="44">
    <w:name w:val="HTML Preformatted"/>
    <w:basedOn w:val="1"/>
    <w:link w:val="27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45">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46">
    <w:name w:val="Title"/>
    <w:basedOn w:val="1"/>
    <w:next w:val="1"/>
    <w:link w:val="272"/>
    <w:autoRedefine/>
    <w:qFormat/>
    <w:uiPriority w:val="0"/>
    <w:pPr>
      <w:spacing w:before="240" w:after="60"/>
      <w:jc w:val="center"/>
      <w:outlineLvl w:val="0"/>
    </w:pPr>
    <w:rPr>
      <w:rFonts w:ascii="Arial" w:hAnsi="Arial" w:cs="Arial"/>
      <w:b/>
      <w:bCs/>
      <w:sz w:val="32"/>
      <w:szCs w:val="32"/>
    </w:rPr>
  </w:style>
  <w:style w:type="paragraph" w:styleId="47">
    <w:name w:val="annotation subject"/>
    <w:basedOn w:val="17"/>
    <w:next w:val="17"/>
    <w:link w:val="273"/>
    <w:autoRedefine/>
    <w:qFormat/>
    <w:uiPriority w:val="99"/>
    <w:rPr>
      <w:b/>
      <w:bCs/>
      <w:szCs w:val="20"/>
    </w:rPr>
  </w:style>
  <w:style w:type="paragraph" w:styleId="48">
    <w:name w:val="Body Text First Indent"/>
    <w:basedOn w:val="21"/>
    <w:link w:val="274"/>
    <w:autoRedefine/>
    <w:qFormat/>
    <w:uiPriority w:val="0"/>
    <w:pPr>
      <w:widowControl/>
      <w:spacing w:after="120" w:line="240" w:lineRule="auto"/>
      <w:ind w:firstLine="420" w:firstLineChars="100"/>
      <w:jc w:val="left"/>
    </w:pPr>
    <w:rPr>
      <w:b w:val="0"/>
      <w:sz w:val="21"/>
    </w:rPr>
  </w:style>
  <w:style w:type="paragraph" w:styleId="49">
    <w:name w:val="Body Text First Indent 2"/>
    <w:basedOn w:val="22"/>
    <w:link w:val="275"/>
    <w:autoRedefine/>
    <w:qFormat/>
    <w:uiPriority w:val="0"/>
    <w:pPr>
      <w:spacing w:after="120"/>
      <w:ind w:left="420" w:leftChars="200" w:firstLine="420" w:firstLineChars="200"/>
    </w:pPr>
    <w:rPr>
      <w:rFonts w:ascii="Times New Roman" w:hAnsi="Times New Roman" w:eastAsia="宋体"/>
      <w:sz w:val="21"/>
    </w:rPr>
  </w:style>
  <w:style w:type="table" w:styleId="51">
    <w:name w:val="Table Grid"/>
    <w:basedOn w:val="50"/>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autoRedefine/>
    <w:qFormat/>
    <w:uiPriority w:val="22"/>
    <w:rPr>
      <w:b/>
      <w:bCs/>
    </w:rPr>
  </w:style>
  <w:style w:type="character" w:styleId="54">
    <w:name w:val="page number"/>
    <w:autoRedefine/>
    <w:qFormat/>
    <w:uiPriority w:val="0"/>
  </w:style>
  <w:style w:type="character" w:styleId="55">
    <w:name w:val="FollowedHyperlink"/>
    <w:autoRedefine/>
    <w:qFormat/>
    <w:uiPriority w:val="99"/>
    <w:rPr>
      <w:color w:val="800080"/>
      <w:u w:val="single"/>
    </w:rPr>
  </w:style>
  <w:style w:type="character" w:styleId="56">
    <w:name w:val="Emphasis"/>
    <w:autoRedefine/>
    <w:qFormat/>
    <w:uiPriority w:val="0"/>
    <w:rPr>
      <w:color w:val="CC0000"/>
    </w:rPr>
  </w:style>
  <w:style w:type="character" w:styleId="57">
    <w:name w:val="Hyperlink"/>
    <w:autoRedefine/>
    <w:qFormat/>
    <w:uiPriority w:val="99"/>
    <w:rPr>
      <w:color w:val="0000FF"/>
      <w:u w:val="single"/>
    </w:rPr>
  </w:style>
  <w:style w:type="character" w:styleId="58">
    <w:name w:val="annotation reference"/>
    <w:autoRedefine/>
    <w:qFormat/>
    <w:uiPriority w:val="99"/>
    <w:rPr>
      <w:sz w:val="21"/>
      <w:szCs w:val="21"/>
    </w:rPr>
  </w:style>
  <w:style w:type="paragraph" w:customStyle="1" w:styleId="59">
    <w:name w:val="_Style 3"/>
    <w:autoRedefine/>
    <w:qFormat/>
    <w:uiPriority w:val="1"/>
    <w:pPr>
      <w:widowControl w:val="0"/>
      <w:jc w:val="both"/>
    </w:pPr>
    <w:rPr>
      <w:rFonts w:ascii="Calibri" w:hAnsi="Calibri" w:eastAsia="宋体" w:cs="Times New Roman"/>
      <w:kern w:val="2"/>
      <w:sz w:val="21"/>
      <w:szCs w:val="22"/>
      <w:lang w:val="en-US" w:eastAsia="zh-CN" w:bidi="ar-SA"/>
    </w:rPr>
  </w:style>
  <w:style w:type="paragraph" w:styleId="60">
    <w:name w:val="List Paragraph"/>
    <w:basedOn w:val="1"/>
    <w:link w:val="280"/>
    <w:autoRedefine/>
    <w:qFormat/>
    <w:uiPriority w:val="0"/>
    <w:pPr>
      <w:ind w:firstLine="420" w:firstLineChars="200"/>
    </w:pPr>
    <w:rPr>
      <w:szCs w:val="24"/>
    </w:rPr>
  </w:style>
  <w:style w:type="paragraph" w:customStyle="1" w:styleId="61">
    <w:name w:val="样式标题3"/>
    <w:basedOn w:val="7"/>
    <w:link w:val="290"/>
    <w:autoRedefine/>
    <w:qFormat/>
    <w:uiPriority w:val="0"/>
    <w:pPr>
      <w:keepNext/>
      <w:keepLines/>
      <w:widowControl w:val="0"/>
      <w:tabs>
        <w:tab w:val="left" w:pos="420"/>
        <w:tab w:val="left" w:pos="1260"/>
        <w:tab w:val="clear" w:pos="709"/>
        <w:tab w:val="clear" w:pos="1560"/>
        <w:tab w:val="clear" w:pos="3240"/>
      </w:tabs>
      <w:spacing w:before="280" w:after="0" w:afterLines="0" w:line="376" w:lineRule="auto"/>
      <w:ind w:left="1260" w:hanging="420"/>
    </w:pPr>
    <w:rPr>
      <w:rFonts w:ascii="Times New Roman" w:hAnsi="Times New Roman"/>
      <w:b/>
      <w:bCs/>
      <w:kern w:val="2"/>
      <w:sz w:val="21"/>
      <w:szCs w:val="21"/>
    </w:rPr>
  </w:style>
  <w:style w:type="paragraph" w:customStyle="1" w:styleId="62">
    <w:name w:val="标题样式1"/>
    <w:basedOn w:val="4"/>
    <w:link w:val="292"/>
    <w:autoRedefine/>
    <w:qFormat/>
    <w:uiPriority w:val="0"/>
    <w:pPr>
      <w:autoSpaceDE w:val="0"/>
      <w:autoSpaceDN w:val="0"/>
      <w:adjustRightInd w:val="0"/>
      <w:spacing w:before="360"/>
      <w:ind w:left="420" w:hanging="420"/>
      <w:textAlignment w:val="baseline"/>
    </w:pPr>
    <w:rPr>
      <w:rFonts w:hAnsi="Arial"/>
      <w:sz w:val="28"/>
    </w:rPr>
  </w:style>
  <w:style w:type="paragraph" w:customStyle="1" w:styleId="63">
    <w:name w:val="列出段落1"/>
    <w:basedOn w:val="1"/>
    <w:link w:val="295"/>
    <w:autoRedefine/>
    <w:qFormat/>
    <w:uiPriority w:val="0"/>
    <w:pPr>
      <w:ind w:firstLine="420" w:firstLineChars="200"/>
    </w:pPr>
    <w:rPr>
      <w:rFonts w:ascii="Calibri" w:hAnsi="Calibri"/>
      <w:szCs w:val="22"/>
    </w:rPr>
  </w:style>
  <w:style w:type="paragraph" w:customStyle="1" w:styleId="64">
    <w:name w:val="样式标题2"/>
    <w:basedOn w:val="7"/>
    <w:link w:val="302"/>
    <w:autoRedefine/>
    <w:qFormat/>
    <w:uiPriority w:val="0"/>
    <w:pPr>
      <w:keepNext/>
      <w:keepLines/>
      <w:widowControl w:val="0"/>
      <w:tabs>
        <w:tab w:val="left" w:pos="1260"/>
        <w:tab w:val="clear" w:pos="709"/>
        <w:tab w:val="clear" w:pos="1560"/>
        <w:tab w:val="clear" w:pos="3240"/>
      </w:tabs>
      <w:spacing w:before="280" w:after="0" w:afterLines="0" w:line="376" w:lineRule="auto"/>
      <w:ind w:left="1260" w:hanging="840"/>
    </w:pPr>
    <w:rPr>
      <w:rFonts w:ascii="Times New Roman" w:hAnsi="Times New Roman"/>
      <w:b/>
      <w:bCs/>
      <w:kern w:val="2"/>
      <w:sz w:val="24"/>
      <w:szCs w:val="24"/>
    </w:rPr>
  </w:style>
  <w:style w:type="paragraph" w:customStyle="1" w:styleId="65">
    <w:name w:val="页脚2"/>
    <w:basedOn w:val="1"/>
    <w:link w:val="303"/>
    <w:autoRedefine/>
    <w:qFormat/>
    <w:uiPriority w:val="0"/>
    <w:pPr>
      <w:widowControl/>
      <w:pBdr>
        <w:top w:val="single" w:color="auto" w:sz="6" w:space="0"/>
      </w:pBdr>
      <w:jc w:val="right"/>
      <w:textAlignment w:val="center"/>
    </w:pPr>
    <w:rPr>
      <w:rFonts w:ascii="宋体" w:hAnsi="宋体"/>
      <w:kern w:val="0"/>
      <w:sz w:val="18"/>
      <w:szCs w:val="18"/>
    </w:rPr>
  </w:style>
  <w:style w:type="paragraph" w:customStyle="1" w:styleId="66">
    <w:name w:val="封面标准代替信息"/>
    <w:basedOn w:val="67"/>
    <w:autoRedefine/>
    <w:qFormat/>
    <w:uiPriority w:val="0"/>
    <w:pPr>
      <w:framePr w:wrap="around"/>
      <w:spacing w:before="57"/>
    </w:pPr>
    <w:rPr>
      <w:rFonts w:ascii="宋体"/>
      <w:sz w:val="21"/>
    </w:rPr>
  </w:style>
  <w:style w:type="paragraph" w:customStyle="1" w:styleId="67">
    <w:name w:val="封面标准号2"/>
    <w:basedOn w:val="68"/>
    <w:autoRedefine/>
    <w:qFormat/>
    <w:uiPriority w:val="0"/>
    <w:pPr>
      <w:framePr w:w="9138" w:h="1244" w:hRule="exact" w:wrap="around" w:vAnchor="page" w:hAnchor="margin" w:y="2908"/>
      <w:adjustRightInd w:val="0"/>
      <w:spacing w:before="357" w:line="280" w:lineRule="exact"/>
    </w:pPr>
  </w:style>
  <w:style w:type="paragraph" w:customStyle="1" w:styleId="68">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9">
    <w:name w:val="Char Char Char Char Char Char Char Char Char Char Char Char Char"/>
    <w:basedOn w:val="15"/>
    <w:autoRedefine/>
    <w:qFormat/>
    <w:uiPriority w:val="0"/>
  </w:style>
  <w:style w:type="paragraph" w:customStyle="1" w:styleId="70">
    <w:name w:val="Char Char5"/>
    <w:basedOn w:val="1"/>
    <w:autoRedefine/>
    <w:qFormat/>
    <w:uiPriority w:val="0"/>
    <w:pPr>
      <w:widowControl/>
      <w:spacing w:after="160" w:line="240" w:lineRule="exact"/>
      <w:jc w:val="left"/>
    </w:pPr>
    <w:rPr>
      <w:rFonts w:ascii="Verdana" w:hAnsi="Verdana"/>
      <w:kern w:val="0"/>
      <w:sz w:val="20"/>
      <w:lang w:eastAsia="en-US"/>
    </w:rPr>
  </w:style>
  <w:style w:type="paragraph" w:customStyle="1" w:styleId="71">
    <w:name w:val="xl3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8"/>
      <w:szCs w:val="28"/>
    </w:rPr>
  </w:style>
  <w:style w:type="paragraph" w:customStyle="1" w:styleId="72">
    <w:name w:val="参考文献、索引标题"/>
    <w:basedOn w:val="73"/>
    <w:next w:val="1"/>
    <w:autoRedefine/>
    <w:qFormat/>
    <w:uiPriority w:val="0"/>
    <w:pPr>
      <w:spacing w:after="200"/>
    </w:pPr>
    <w:rPr>
      <w:sz w:val="21"/>
    </w:rPr>
  </w:style>
  <w:style w:type="paragraph" w:customStyle="1" w:styleId="73">
    <w:name w:val="前言、引言标题"/>
    <w:next w:val="1"/>
    <w:autoRedefine/>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4">
    <w:name w:val="附录章标题"/>
    <w:next w:val="75"/>
    <w:autoRedefine/>
    <w:qFormat/>
    <w:uiPriority w:val="0"/>
    <w:pPr>
      <w:tabs>
        <w:tab w:val="left" w:pos="718"/>
        <w:tab w:val="left" w:pos="1138"/>
      </w:tabs>
      <w:wordWrap w:val="0"/>
      <w:overflowPunct w:val="0"/>
      <w:autoSpaceDE w:val="0"/>
      <w:spacing w:before="156" w:beforeLines="50" w:after="156" w:afterLines="50"/>
      <w:ind w:left="1138" w:hanging="571"/>
      <w:jc w:val="both"/>
      <w:textAlignment w:val="baseline"/>
      <w:outlineLvl w:val="1"/>
    </w:pPr>
    <w:rPr>
      <w:rFonts w:ascii="黑体" w:hAnsi="Times New Roman" w:eastAsia="黑体" w:cs="Times New Roman"/>
      <w:kern w:val="21"/>
      <w:sz w:val="21"/>
      <w:lang w:val="en-US" w:eastAsia="zh-CN" w:bidi="ar-SA"/>
    </w:rPr>
  </w:style>
  <w:style w:type="paragraph" w:customStyle="1" w:styleId="75">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6">
    <w:name w:val="附录二级条标题"/>
    <w:basedOn w:val="77"/>
    <w:next w:val="75"/>
    <w:autoRedefine/>
    <w:qFormat/>
    <w:uiPriority w:val="0"/>
    <w:pPr>
      <w:tabs>
        <w:tab w:val="left" w:pos="1560"/>
      </w:tabs>
      <w:outlineLvl w:val="3"/>
    </w:pPr>
  </w:style>
  <w:style w:type="paragraph" w:customStyle="1" w:styleId="77">
    <w:name w:val="附录一级条标题"/>
    <w:basedOn w:val="74"/>
    <w:next w:val="75"/>
    <w:autoRedefine/>
    <w:qFormat/>
    <w:uiPriority w:val="0"/>
    <w:pPr>
      <w:tabs>
        <w:tab w:val="left" w:pos="1560"/>
        <w:tab w:val="clear" w:pos="718"/>
        <w:tab w:val="clear" w:pos="1138"/>
      </w:tabs>
      <w:autoSpaceDN w:val="0"/>
      <w:spacing w:before="0" w:beforeLines="0" w:after="0" w:afterLines="0"/>
      <w:ind w:left="1560" w:hanging="960"/>
      <w:outlineLvl w:val="2"/>
    </w:pPr>
  </w:style>
  <w:style w:type="paragraph" w:customStyle="1" w:styleId="78">
    <w:name w:val="Blockquote"/>
    <w:basedOn w:val="1"/>
    <w:autoRedefine/>
    <w:qFormat/>
    <w:uiPriority w:val="0"/>
    <w:pPr>
      <w:autoSpaceDE w:val="0"/>
      <w:autoSpaceDN w:val="0"/>
      <w:adjustRightInd w:val="0"/>
      <w:spacing w:before="100" w:after="100"/>
      <w:ind w:left="360" w:right="360"/>
      <w:jc w:val="left"/>
    </w:pPr>
    <w:rPr>
      <w:kern w:val="0"/>
      <w:sz w:val="24"/>
    </w:rPr>
  </w:style>
  <w:style w:type="paragraph" w:customStyle="1" w:styleId="79">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0">
    <w:name w:val="样式4"/>
    <w:basedOn w:val="1"/>
    <w:autoRedefine/>
    <w:qFormat/>
    <w:uiPriority w:val="0"/>
    <w:pPr>
      <w:tabs>
        <w:tab w:val="left" w:pos="2328"/>
      </w:tabs>
      <w:ind w:left="2328" w:hanging="708"/>
    </w:pPr>
    <w:rPr>
      <w:szCs w:val="24"/>
    </w:rPr>
  </w:style>
  <w:style w:type="paragraph" w:customStyle="1" w:styleId="81">
    <w:name w:val="样式 小四 段前: 5 磅 段后: 5 磅 首行缩进:  2 字符"/>
    <w:basedOn w:val="1"/>
    <w:autoRedefine/>
    <w:qFormat/>
    <w:uiPriority w:val="0"/>
    <w:pPr>
      <w:spacing w:line="360" w:lineRule="auto"/>
    </w:pPr>
    <w:rPr>
      <w:rFonts w:ascii="宋体" w:hAnsi="宋体"/>
      <w:sz w:val="24"/>
      <w:szCs w:val="21"/>
    </w:rPr>
  </w:style>
  <w:style w:type="paragraph" w:customStyle="1" w:styleId="82">
    <w:name w:val="正文1"/>
    <w:basedOn w:val="1"/>
    <w:autoRedefine/>
    <w:qFormat/>
    <w:uiPriority w:val="0"/>
    <w:pPr>
      <w:adjustRightInd w:val="0"/>
      <w:spacing w:line="312" w:lineRule="atLeast"/>
    </w:pPr>
    <w:rPr>
      <w:kern w:val="0"/>
      <w:sz w:val="28"/>
    </w:rPr>
  </w:style>
  <w:style w:type="paragraph" w:customStyle="1" w:styleId="83">
    <w:name w:val="标准书眉_偶数页"/>
    <w:basedOn w:val="84"/>
    <w:next w:val="1"/>
    <w:autoRedefine/>
    <w:qFormat/>
    <w:uiPriority w:val="0"/>
    <w:pPr>
      <w:tabs>
        <w:tab w:val="center" w:pos="4154"/>
        <w:tab w:val="right" w:pos="8306"/>
      </w:tabs>
      <w:jc w:val="left"/>
    </w:pPr>
  </w:style>
  <w:style w:type="paragraph" w:customStyle="1" w:styleId="84">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5">
    <w:name w:val="表头"/>
    <w:basedOn w:val="13"/>
    <w:autoRedefine/>
    <w:qFormat/>
    <w:uiPriority w:val="0"/>
    <w:pPr>
      <w:keepNext/>
      <w:keepLines/>
      <w:widowControl/>
      <w:tabs>
        <w:tab w:val="left" w:pos="360"/>
      </w:tabs>
      <w:spacing w:before="120" w:after="120" w:line="300" w:lineRule="auto"/>
      <w:jc w:val="center"/>
      <w:textAlignment w:val="baseline"/>
    </w:pPr>
    <w:rPr>
      <w:rFonts w:cs="Times New Roman"/>
      <w:kern w:val="0"/>
      <w:sz w:val="21"/>
    </w:rPr>
  </w:style>
  <w:style w:type="paragraph" w:customStyle="1" w:styleId="86">
    <w:name w:val="Char2"/>
    <w:basedOn w:val="1"/>
    <w:autoRedefine/>
    <w:qFormat/>
    <w:uiPriority w:val="0"/>
    <w:pPr>
      <w:tabs>
        <w:tab w:val="left" w:pos="0"/>
      </w:tabs>
      <w:ind w:left="170" w:hanging="170"/>
    </w:pPr>
    <w:rPr>
      <w:sz w:val="24"/>
      <w:szCs w:val="24"/>
    </w:rPr>
  </w:style>
  <w:style w:type="paragraph" w:customStyle="1" w:styleId="87">
    <w:name w:val="Char Char Char Char Char Char1 Char"/>
    <w:basedOn w:val="1"/>
    <w:autoRedefine/>
    <w:qFormat/>
    <w:uiPriority w:val="0"/>
    <w:pPr>
      <w:widowControl/>
      <w:spacing w:after="160" w:line="240" w:lineRule="exact"/>
      <w:jc w:val="left"/>
    </w:pPr>
    <w:rPr>
      <w:rFonts w:ascii="Arial" w:hAnsi="Arial" w:eastAsia="楷体_GB2312" w:cs="Verdana"/>
      <w:b/>
      <w:kern w:val="0"/>
      <w:sz w:val="24"/>
      <w:szCs w:val="24"/>
      <w:lang w:eastAsia="en-US"/>
    </w:rPr>
  </w:style>
  <w:style w:type="paragraph" w:customStyle="1" w:styleId="88">
    <w:name w:val="正文 New"/>
    <w:autoRedefine/>
    <w:qFormat/>
    <w:uiPriority w:val="0"/>
    <w:pPr>
      <w:widowControl w:val="0"/>
      <w:spacing w:after="200" w:line="276" w:lineRule="auto"/>
      <w:ind w:left="839" w:hanging="357"/>
      <w:jc w:val="both"/>
    </w:pPr>
    <w:rPr>
      <w:rFonts w:ascii="Times New Roman" w:hAnsi="Times New Roman" w:eastAsia="宋体" w:cs="Times New Roman"/>
      <w:sz w:val="22"/>
      <w:szCs w:val="22"/>
      <w:lang w:val="en-US" w:eastAsia="en-US" w:bidi="ar-SA"/>
    </w:rPr>
  </w:style>
  <w:style w:type="paragraph" w:customStyle="1" w:styleId="89">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90">
    <w:name w:val="二级条标题"/>
    <w:basedOn w:val="91"/>
    <w:next w:val="75"/>
    <w:autoRedefine/>
    <w:qFormat/>
    <w:uiPriority w:val="0"/>
    <w:pPr>
      <w:outlineLvl w:val="3"/>
    </w:pPr>
  </w:style>
  <w:style w:type="paragraph" w:customStyle="1" w:styleId="91">
    <w:name w:val="一级条标题"/>
    <w:next w:val="75"/>
    <w:autoRedefine/>
    <w:qFormat/>
    <w:uiPriority w:val="0"/>
    <w:pPr>
      <w:outlineLvl w:val="2"/>
    </w:pPr>
    <w:rPr>
      <w:rFonts w:ascii="Times New Roman" w:hAnsi="Times New Roman" w:eastAsia="黑体" w:cs="Times New Roman"/>
      <w:sz w:val="21"/>
      <w:lang w:val="en-US" w:eastAsia="zh-CN" w:bidi="ar-SA"/>
    </w:rPr>
  </w:style>
  <w:style w:type="paragraph" w:customStyle="1" w:styleId="92">
    <w:name w:val="办公自动化专用标题"/>
    <w:basedOn w:val="46"/>
    <w:autoRedefine/>
    <w:qFormat/>
    <w:uiPriority w:val="0"/>
    <w:pPr>
      <w:spacing w:line="560" w:lineRule="atLeast"/>
    </w:pPr>
    <w:rPr>
      <w:rFonts w:ascii="宋体" w:cs="Times New Roman"/>
      <w:bCs w:val="0"/>
      <w:sz w:val="44"/>
      <w:szCs w:val="20"/>
    </w:rPr>
  </w:style>
  <w:style w:type="paragraph" w:customStyle="1" w:styleId="93">
    <w:name w:val="列项●（二级）"/>
    <w:autoRedefine/>
    <w:qFormat/>
    <w:uiPriority w:val="0"/>
    <w:pPr>
      <w:tabs>
        <w:tab w:val="left" w:pos="840"/>
        <w:tab w:val="left" w:pos="1080"/>
      </w:tabs>
      <w:ind w:left="600" w:leftChars="400" w:hanging="200" w:hangingChars="200"/>
      <w:jc w:val="both"/>
    </w:pPr>
    <w:rPr>
      <w:rFonts w:ascii="宋体" w:hAnsi="Times New Roman" w:eastAsia="宋体" w:cs="Times New Roman"/>
      <w:sz w:val="21"/>
      <w:lang w:val="en-US" w:eastAsia="zh-CN" w:bidi="ar-SA"/>
    </w:rPr>
  </w:style>
  <w:style w:type="paragraph" w:customStyle="1" w:styleId="94">
    <w:name w:val="五级条标题"/>
    <w:basedOn w:val="95"/>
    <w:next w:val="75"/>
    <w:autoRedefine/>
    <w:qFormat/>
    <w:uiPriority w:val="0"/>
    <w:pPr>
      <w:tabs>
        <w:tab w:val="left" w:pos="360"/>
        <w:tab w:val="left" w:pos="720"/>
        <w:tab w:val="left" w:pos="1860"/>
        <w:tab w:val="left" w:pos="2100"/>
        <w:tab w:val="left" w:pos="4320"/>
      </w:tabs>
      <w:ind w:left="1860" w:hanging="420"/>
      <w:outlineLvl w:val="6"/>
    </w:pPr>
  </w:style>
  <w:style w:type="paragraph" w:customStyle="1" w:styleId="95">
    <w:name w:val="四级条标题"/>
    <w:basedOn w:val="96"/>
    <w:next w:val="75"/>
    <w:autoRedefine/>
    <w:qFormat/>
    <w:uiPriority w:val="0"/>
    <w:pPr>
      <w:tabs>
        <w:tab w:val="left" w:pos="720"/>
        <w:tab w:val="left" w:pos="2100"/>
        <w:tab w:val="left" w:pos="4320"/>
      </w:tabs>
      <w:ind w:left="4320" w:hanging="360"/>
      <w:outlineLvl w:val="5"/>
    </w:pPr>
  </w:style>
  <w:style w:type="paragraph" w:customStyle="1" w:styleId="96">
    <w:name w:val="三级条标题"/>
    <w:basedOn w:val="90"/>
    <w:next w:val="75"/>
    <w:autoRedefine/>
    <w:qFormat/>
    <w:uiPriority w:val="0"/>
    <w:pPr>
      <w:tabs>
        <w:tab w:val="left" w:pos="2100"/>
      </w:tabs>
      <w:ind w:left="2100" w:hanging="420"/>
      <w:outlineLvl w:val="4"/>
    </w:pPr>
  </w:style>
  <w:style w:type="paragraph" w:customStyle="1" w:styleId="97">
    <w:name w:val="Char Char Char Char Char Char Char Char Char Char1"/>
    <w:basedOn w:val="1"/>
    <w:autoRedefine/>
    <w:qFormat/>
    <w:uiPriority w:val="0"/>
    <w:rPr>
      <w:rFonts w:ascii="Tahoma" w:hAnsi="Tahoma"/>
      <w:sz w:val="24"/>
    </w:rPr>
  </w:style>
  <w:style w:type="paragraph" w:customStyle="1" w:styleId="98">
    <w:name w:val="xl3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99">
    <w:name w:val="图表脚注"/>
    <w:next w:val="75"/>
    <w:autoRedefine/>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00">
    <w:name w:val="正文 New New New New"/>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01">
    <w:name w:val="样式1"/>
    <w:basedOn w:val="1"/>
    <w:autoRedefine/>
    <w:qFormat/>
    <w:uiPriority w:val="0"/>
    <w:pPr>
      <w:spacing w:line="440" w:lineRule="atLeast"/>
      <w:outlineLvl w:val="0"/>
    </w:pPr>
    <w:rPr>
      <w:rFonts w:ascii="宋体" w:hAnsi="宋体"/>
      <w:sz w:val="24"/>
      <w:szCs w:val="24"/>
    </w:rPr>
  </w:style>
  <w:style w:type="paragraph" w:customStyle="1" w:styleId="102">
    <w:name w:val="5"/>
    <w:basedOn w:val="1"/>
    <w:next w:val="21"/>
    <w:autoRedefine/>
    <w:qFormat/>
    <w:uiPriority w:val="0"/>
    <w:pPr>
      <w:spacing w:line="360" w:lineRule="auto"/>
    </w:pPr>
    <w:rPr>
      <w:sz w:val="24"/>
      <w:szCs w:val="24"/>
    </w:rPr>
  </w:style>
  <w:style w:type="paragraph" w:customStyle="1" w:styleId="103">
    <w:name w:val="保留正文"/>
    <w:basedOn w:val="21"/>
    <w:autoRedefine/>
    <w:qFormat/>
    <w:uiPriority w:val="0"/>
    <w:pPr>
      <w:keepNext/>
      <w:spacing w:after="160" w:line="240" w:lineRule="auto"/>
    </w:pPr>
    <w:rPr>
      <w:rFonts w:ascii="Times New Roman" w:eastAsia="宋体"/>
      <w:b w:val="0"/>
      <w:sz w:val="21"/>
      <w:szCs w:val="24"/>
    </w:rPr>
  </w:style>
  <w:style w:type="paragraph" w:customStyle="1" w:styleId="104">
    <w:name w:val="实施日期"/>
    <w:basedOn w:val="105"/>
    <w:autoRedefine/>
    <w:qFormat/>
    <w:uiPriority w:val="0"/>
    <w:pPr>
      <w:framePr w:wrap="around" w:vAnchor="margin" w:hAnchor="text" w:xAlign="right" w:y="1"/>
      <w:jc w:val="right"/>
    </w:pPr>
  </w:style>
  <w:style w:type="paragraph" w:customStyle="1" w:styleId="105">
    <w:name w:val="发布日期"/>
    <w:autoRedefine/>
    <w:qFormat/>
    <w:uiPriority w:val="0"/>
    <w:rPr>
      <w:rFonts w:ascii="Times New Roman" w:hAnsi="Times New Roman" w:eastAsia="黑体" w:cs="Times New Roman"/>
      <w:sz w:val="28"/>
      <w:lang w:val="en-US" w:eastAsia="zh-CN" w:bidi="ar-SA"/>
    </w:rPr>
  </w:style>
  <w:style w:type="paragraph" w:customStyle="1" w:styleId="106">
    <w:name w:val="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07">
    <w:name w:val="图"/>
    <w:basedOn w:val="1"/>
    <w:autoRedefine/>
    <w:qFormat/>
    <w:uiPriority w:val="0"/>
    <w:pPr>
      <w:keepNext/>
      <w:adjustRightInd w:val="0"/>
      <w:spacing w:before="60" w:after="60" w:line="300" w:lineRule="auto"/>
      <w:jc w:val="center"/>
      <w:textAlignment w:val="center"/>
    </w:pPr>
    <w:rPr>
      <w:snapToGrid w:val="0"/>
      <w:spacing w:val="20"/>
      <w:kern w:val="0"/>
      <w:sz w:val="24"/>
    </w:rPr>
  </w:style>
  <w:style w:type="paragraph" w:customStyle="1" w:styleId="108">
    <w:name w:val="注："/>
    <w:next w:val="75"/>
    <w:autoRedefine/>
    <w:qFormat/>
    <w:uiPriority w:val="0"/>
    <w:pPr>
      <w:widowControl w:val="0"/>
      <w:tabs>
        <w:tab w:val="left" w:pos="720"/>
      </w:tabs>
      <w:autoSpaceDE w:val="0"/>
      <w:autoSpaceDN w:val="0"/>
      <w:ind w:left="720" w:hanging="720"/>
      <w:jc w:val="both"/>
    </w:pPr>
    <w:rPr>
      <w:rFonts w:ascii="宋体" w:hAnsi="Times New Roman" w:eastAsia="宋体" w:cs="Times New Roman"/>
      <w:sz w:val="18"/>
      <w:lang w:val="en-US" w:eastAsia="zh-CN" w:bidi="ar-SA"/>
    </w:rPr>
  </w:style>
  <w:style w:type="paragraph" w:customStyle="1" w:styleId="109">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10">
    <w:name w:val="D文1"/>
    <w:basedOn w:val="1"/>
    <w:autoRedefine/>
    <w:qFormat/>
    <w:uiPriority w:val="0"/>
    <w:pPr>
      <w:tabs>
        <w:tab w:val="left" w:pos="720"/>
      </w:tabs>
      <w:autoSpaceDE w:val="0"/>
      <w:autoSpaceDN w:val="0"/>
      <w:adjustRightInd w:val="0"/>
      <w:spacing w:after="120" w:line="480" w:lineRule="atLeast"/>
      <w:ind w:left="680" w:firstLine="510"/>
    </w:pPr>
    <w:rPr>
      <w:rFonts w:ascii="宋体"/>
      <w:kern w:val="0"/>
      <w:sz w:val="24"/>
    </w:rPr>
  </w:style>
  <w:style w:type="paragraph" w:customStyle="1" w:styleId="111">
    <w:name w:val="xl26"/>
    <w:basedOn w:val="1"/>
    <w:autoRedefine/>
    <w:qFormat/>
    <w:uiPriority w:val="0"/>
    <w:pPr>
      <w:widowControl/>
      <w:pBdr>
        <w:top w:val="single" w:color="auto" w:sz="4" w:space="0"/>
        <w:bottom w:val="single" w:color="auto" w:sz="4" w:space="0"/>
        <w:right w:val="single" w:color="auto" w:sz="4" w:space="0"/>
      </w:pBdr>
      <w:tabs>
        <w:tab w:val="left" w:pos="960"/>
      </w:tabs>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112">
    <w:name w:val="附录表标题"/>
    <w:next w:val="75"/>
    <w:autoRedefine/>
    <w:qFormat/>
    <w:uiPriority w:val="0"/>
    <w:pPr>
      <w:tabs>
        <w:tab w:val="left" w:pos="780"/>
      </w:tabs>
      <w:ind w:left="780" w:hanging="360"/>
      <w:jc w:val="center"/>
      <w:textAlignment w:val="baseline"/>
    </w:pPr>
    <w:rPr>
      <w:rFonts w:ascii="黑体" w:hAnsi="Times New Roman" w:eastAsia="黑体" w:cs="Times New Roman"/>
      <w:kern w:val="21"/>
      <w:sz w:val="21"/>
      <w:lang w:val="en-US" w:eastAsia="zh-CN" w:bidi="ar-SA"/>
    </w:rPr>
  </w:style>
  <w:style w:type="paragraph" w:customStyle="1" w:styleId="113">
    <w:name w:val="列项——（一级）"/>
    <w:autoRedefine/>
    <w:qFormat/>
    <w:uiPriority w:val="0"/>
    <w:pPr>
      <w:widowControl w:val="0"/>
      <w:tabs>
        <w:tab w:val="left" w:pos="360"/>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114">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6"/>
      <w:szCs w:val="26"/>
    </w:rPr>
  </w:style>
  <w:style w:type="paragraph" w:customStyle="1" w:styleId="115">
    <w:name w:val="正文 A"/>
    <w:autoRedefine/>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16">
    <w:name w:val="正文文本缩进 21"/>
    <w:basedOn w:val="1"/>
    <w:autoRedefine/>
    <w:qFormat/>
    <w:uiPriority w:val="0"/>
    <w:pPr>
      <w:adjustRightInd w:val="0"/>
      <w:spacing w:line="360" w:lineRule="atLeast"/>
      <w:ind w:firstLine="855"/>
      <w:textAlignment w:val="baseline"/>
    </w:pPr>
    <w:rPr>
      <w:rFonts w:ascii="宋体"/>
      <w:kern w:val="0"/>
      <w:sz w:val="28"/>
    </w:rPr>
  </w:style>
  <w:style w:type="paragraph" w:customStyle="1" w:styleId="117">
    <w:name w:val="Char Char Char Char Char Char Char Char Char Char Char Char1 Char Char Char Char"/>
    <w:basedOn w:val="1"/>
    <w:autoRedefine/>
    <w:qFormat/>
    <w:uiPriority w:val="0"/>
    <w:pPr>
      <w:widowControl/>
      <w:spacing w:after="160" w:line="240" w:lineRule="exact"/>
      <w:jc w:val="center"/>
    </w:pPr>
    <w:rPr>
      <w:sz w:val="24"/>
      <w:szCs w:val="24"/>
    </w:rPr>
  </w:style>
  <w:style w:type="paragraph" w:customStyle="1" w:styleId="118">
    <w:name w:val="正文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9">
    <w:name w:val="正文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0">
    <w:name w:val="_Style 222"/>
    <w:basedOn w:val="1"/>
    <w:autoRedefine/>
    <w:qFormat/>
    <w:uiPriority w:val="0"/>
    <w:pPr>
      <w:widowControl/>
      <w:spacing w:after="160" w:line="240" w:lineRule="exact"/>
      <w:jc w:val="left"/>
    </w:pPr>
    <w:rPr>
      <w:szCs w:val="24"/>
    </w:rPr>
  </w:style>
  <w:style w:type="paragraph" w:customStyle="1" w:styleId="121">
    <w:name w:val="目次、标准名称标题"/>
    <w:basedOn w:val="73"/>
    <w:next w:val="75"/>
    <w:autoRedefine/>
    <w:qFormat/>
    <w:uiPriority w:val="0"/>
    <w:pPr>
      <w:tabs>
        <w:tab w:val="left" w:pos="360"/>
      </w:tabs>
      <w:spacing w:line="460" w:lineRule="exact"/>
    </w:pPr>
  </w:style>
  <w:style w:type="paragraph" w:customStyle="1" w:styleId="122">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123">
    <w:name w:val="排列"/>
    <w:basedOn w:val="36"/>
    <w:next w:val="36"/>
    <w:autoRedefine/>
    <w:qFormat/>
    <w:uiPriority w:val="0"/>
    <w:pPr>
      <w:tabs>
        <w:tab w:val="left" w:pos="425"/>
        <w:tab w:val="clear" w:pos="360"/>
        <w:tab w:val="clear" w:pos="709"/>
      </w:tabs>
      <w:ind w:left="425" w:hanging="425"/>
    </w:pPr>
  </w:style>
  <w:style w:type="paragraph" w:customStyle="1" w:styleId="124">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125">
    <w:name w:val="Char1 Char Char Char"/>
    <w:basedOn w:val="1"/>
    <w:autoRedefine/>
    <w:qFormat/>
    <w:uiPriority w:val="0"/>
  </w:style>
  <w:style w:type="paragraph" w:customStyle="1" w:styleId="126">
    <w:name w:val="修订1"/>
    <w:autoRedefine/>
    <w:qFormat/>
    <w:uiPriority w:val="99"/>
    <w:rPr>
      <w:rFonts w:ascii="Times New Roman" w:hAnsi="Times New Roman" w:eastAsia="宋体" w:cs="Times New Roman"/>
      <w:kern w:val="2"/>
      <w:sz w:val="21"/>
      <w:lang w:val="en-US" w:eastAsia="zh-CN" w:bidi="ar-SA"/>
    </w:rPr>
  </w:style>
  <w:style w:type="paragraph" w:customStyle="1" w:styleId="127">
    <w:name w:val="正文表标题"/>
    <w:next w:val="75"/>
    <w:autoRedefine/>
    <w:qFormat/>
    <w:uiPriority w:val="0"/>
    <w:pPr>
      <w:tabs>
        <w:tab w:val="left" w:pos="720"/>
      </w:tabs>
      <w:ind w:left="720" w:hanging="720"/>
      <w:jc w:val="center"/>
    </w:pPr>
    <w:rPr>
      <w:rFonts w:ascii="黑体" w:hAnsi="Times New Roman" w:eastAsia="黑体" w:cs="Times New Roman"/>
      <w:sz w:val="21"/>
      <w:lang w:val="en-US" w:eastAsia="zh-CN" w:bidi="ar-SA"/>
    </w:rPr>
  </w:style>
  <w:style w:type="paragraph" w:customStyle="1" w:styleId="128">
    <w:name w:val="Char Char Char Char Char Char Char Char Char Char Char Char1 Char Char Char Char1"/>
    <w:basedOn w:val="1"/>
    <w:autoRedefine/>
    <w:qFormat/>
    <w:uiPriority w:val="0"/>
    <w:pPr>
      <w:widowControl/>
      <w:spacing w:after="160" w:line="240" w:lineRule="exact"/>
      <w:jc w:val="center"/>
    </w:pPr>
    <w:rPr>
      <w:rFonts w:ascii="黑体" w:hAnsi="Verdana" w:eastAsia="黑体"/>
      <w:kern w:val="0"/>
      <w:sz w:val="32"/>
      <w:szCs w:val="32"/>
      <w:lang w:eastAsia="en-US"/>
    </w:rPr>
  </w:style>
  <w:style w:type="paragraph" w:customStyle="1" w:styleId="129">
    <w:name w:val="Normal New"/>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30">
    <w:name w:val="内正文"/>
    <w:basedOn w:val="1"/>
    <w:autoRedefine/>
    <w:qFormat/>
    <w:uiPriority w:val="0"/>
    <w:pPr>
      <w:ind w:firstLine="420"/>
    </w:pPr>
    <w:rPr>
      <w:rFonts w:eastAsia="文鼎CS书宋二"/>
    </w:rPr>
  </w:style>
  <w:style w:type="paragraph" w:customStyle="1" w:styleId="131">
    <w:name w:val="_Style 2"/>
    <w:basedOn w:val="1"/>
    <w:autoRedefine/>
    <w:qFormat/>
    <w:uiPriority w:val="34"/>
    <w:pPr>
      <w:ind w:firstLine="420" w:firstLineChars="200"/>
    </w:pPr>
    <w:rPr>
      <w:szCs w:val="24"/>
    </w:rPr>
  </w:style>
  <w:style w:type="paragraph" w:customStyle="1" w:styleId="132">
    <w:name w:val="题注4"/>
    <w:basedOn w:val="1"/>
    <w:next w:val="13"/>
    <w:autoRedefine/>
    <w:qFormat/>
    <w:uiPriority w:val="0"/>
    <w:pPr>
      <w:ind w:left="-132" w:leftChars="-64" w:right="-105" w:rightChars="-50" w:hanging="2"/>
      <w:jc w:val="center"/>
    </w:pPr>
    <w:rPr>
      <w:b/>
      <w:color w:val="FF0000"/>
      <w:szCs w:val="21"/>
    </w:rPr>
  </w:style>
  <w:style w:type="paragraph" w:customStyle="1" w:styleId="133">
    <w:name w:val="列出段落2"/>
    <w:basedOn w:val="1"/>
    <w:autoRedefine/>
    <w:qFormat/>
    <w:uiPriority w:val="0"/>
    <w:pPr>
      <w:ind w:firstLine="420" w:firstLineChars="200"/>
    </w:pPr>
    <w:rPr>
      <w:szCs w:val="24"/>
    </w:rPr>
  </w:style>
  <w:style w:type="paragraph" w:customStyle="1" w:styleId="134">
    <w:name w:val="Char Char4 Char Char Char Char"/>
    <w:basedOn w:val="1"/>
    <w:autoRedefine/>
    <w:qFormat/>
    <w:uiPriority w:val="0"/>
    <w:pPr>
      <w:tabs>
        <w:tab w:val="left" w:pos="425"/>
      </w:tabs>
      <w:ind w:left="425" w:hanging="425"/>
    </w:pPr>
    <w:rPr>
      <w:rFonts w:eastAsia="仿宋_GB2312"/>
      <w:kern w:val="24"/>
      <w:sz w:val="24"/>
      <w:szCs w:val="24"/>
    </w:rPr>
  </w:style>
  <w:style w:type="paragraph" w:customStyle="1" w:styleId="135">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36">
    <w:name w:val="附录标识"/>
    <w:basedOn w:val="73"/>
    <w:autoRedefine/>
    <w:qFormat/>
    <w:uiPriority w:val="0"/>
    <w:pPr>
      <w:tabs>
        <w:tab w:val="left" w:pos="1560"/>
        <w:tab w:val="left" w:pos="6405"/>
      </w:tabs>
      <w:spacing w:after="200"/>
      <w:ind w:left="1560" w:hanging="720"/>
    </w:pPr>
    <w:rPr>
      <w:sz w:val="21"/>
    </w:rPr>
  </w:style>
  <w:style w:type="paragraph" w:customStyle="1" w:styleId="137">
    <w:name w:val="标准"/>
    <w:basedOn w:val="1"/>
    <w:autoRedefine/>
    <w:qFormat/>
    <w:uiPriority w:val="0"/>
    <w:pPr>
      <w:overflowPunct w:val="0"/>
      <w:autoSpaceDE w:val="0"/>
      <w:autoSpaceDN w:val="0"/>
      <w:adjustRightInd w:val="0"/>
      <w:spacing w:line="240" w:lineRule="atLeast"/>
      <w:textAlignment w:val="baseline"/>
    </w:pPr>
    <w:rPr>
      <w:rFonts w:eastAsia="楷体_GB2312"/>
      <w:kern w:val="0"/>
      <w:sz w:val="24"/>
    </w:rPr>
  </w:style>
  <w:style w:type="paragraph" w:customStyle="1" w:styleId="138">
    <w:name w:val="p16"/>
    <w:basedOn w:val="1"/>
    <w:autoRedefine/>
    <w:qFormat/>
    <w:uiPriority w:val="0"/>
    <w:pPr>
      <w:widowControl/>
      <w:spacing w:line="560" w:lineRule="atLeast"/>
    </w:pPr>
    <w:rPr>
      <w:rFonts w:ascii="仿宋_GB2312" w:hAnsi="宋体" w:eastAsia="仿宋_GB2312" w:cs="宋体"/>
      <w:kern w:val="0"/>
      <w:sz w:val="32"/>
      <w:szCs w:val="32"/>
    </w:rPr>
  </w:style>
  <w:style w:type="paragraph" w:customStyle="1" w:styleId="139">
    <w:name w:val="表格和图形名称"/>
    <w:basedOn w:val="1"/>
    <w:next w:val="1"/>
    <w:autoRedefine/>
    <w:qFormat/>
    <w:uiPriority w:val="0"/>
    <w:pPr>
      <w:widowControl/>
      <w:spacing w:after="156" w:afterLines="50" w:line="360" w:lineRule="auto"/>
      <w:jc w:val="center"/>
    </w:pPr>
    <w:rPr>
      <w:kern w:val="0"/>
    </w:rPr>
  </w:style>
  <w:style w:type="paragraph" w:customStyle="1" w:styleId="140">
    <w:name w:val="章标题"/>
    <w:next w:val="75"/>
    <w:autoRedefine/>
    <w:qFormat/>
    <w:uiPriority w:val="0"/>
    <w:p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141">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2">
    <w:name w:val="Char Char1 Char Char Char Char"/>
    <w:basedOn w:val="1"/>
    <w:autoRedefine/>
    <w:qFormat/>
    <w:uiPriority w:val="0"/>
    <w:pPr>
      <w:widowControl/>
      <w:spacing w:after="160" w:line="240" w:lineRule="exact"/>
      <w:jc w:val="left"/>
    </w:pPr>
    <w:rPr>
      <w:rFonts w:ascii="Arial" w:hAnsi="Arial" w:eastAsia="Times New Roman"/>
      <w:kern w:val="0"/>
      <w:sz w:val="20"/>
      <w:lang w:eastAsia="en-US"/>
    </w:rPr>
  </w:style>
  <w:style w:type="paragraph" w:customStyle="1" w:styleId="143">
    <w:name w:val="样式"/>
    <w:basedOn w:val="1"/>
    <w:next w:val="22"/>
    <w:autoRedefine/>
    <w:qFormat/>
    <w:uiPriority w:val="0"/>
    <w:pPr>
      <w:jc w:val="center"/>
    </w:pPr>
    <w:rPr>
      <w:rFonts w:ascii="宋体" w:hAnsi="宋体"/>
      <w:color w:val="FF0000"/>
      <w:sz w:val="24"/>
      <w:szCs w:val="24"/>
    </w:rPr>
  </w:style>
  <w:style w:type="paragraph" w:customStyle="1" w:styleId="144">
    <w:name w:val="List Paragraph1"/>
    <w:basedOn w:val="1"/>
    <w:autoRedefine/>
    <w:qFormat/>
    <w:uiPriority w:val="34"/>
    <w:pPr>
      <w:ind w:firstLine="420" w:firstLineChars="200"/>
    </w:pPr>
    <w:rPr>
      <w:szCs w:val="22"/>
    </w:rPr>
  </w:style>
  <w:style w:type="paragraph" w:customStyle="1" w:styleId="145">
    <w:name w:val="6"/>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46">
    <w:name w:val="示例"/>
    <w:next w:val="75"/>
    <w:autoRedefine/>
    <w:qFormat/>
    <w:uiPriority w:val="0"/>
    <w:pPr>
      <w:tabs>
        <w:tab w:val="left" w:pos="425"/>
        <w:tab w:val="left" w:pos="816"/>
      </w:tabs>
      <w:ind w:left="425" w:firstLine="419" w:firstLineChars="233"/>
      <w:jc w:val="both"/>
    </w:pPr>
    <w:rPr>
      <w:rFonts w:ascii="宋体" w:hAnsi="Times New Roman" w:eastAsia="宋体" w:cs="Times New Roman"/>
      <w:sz w:val="18"/>
      <w:lang w:val="en-US" w:eastAsia="zh-CN" w:bidi="ar-SA"/>
    </w:rPr>
  </w:style>
  <w:style w:type="paragraph" w:customStyle="1" w:styleId="147">
    <w:name w:val="qptext"/>
    <w:basedOn w:val="1"/>
    <w:autoRedefine/>
    <w:qFormat/>
    <w:uiPriority w:val="0"/>
    <w:pPr>
      <w:spacing w:after="312" w:afterLines="100" w:line="360" w:lineRule="auto"/>
      <w:ind w:right="-716" w:rightChars="-341"/>
    </w:pPr>
    <w:rPr>
      <w:rFonts w:ascii="宋体"/>
      <w:sz w:val="28"/>
      <w:szCs w:val="28"/>
    </w:rPr>
  </w:style>
  <w:style w:type="paragraph" w:customStyle="1" w:styleId="148">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9">
    <w:name w:val="tabletext"/>
    <w:basedOn w:val="1"/>
    <w:autoRedefine/>
    <w:qFormat/>
    <w:uiPriority w:val="0"/>
    <w:pPr>
      <w:widowControl/>
      <w:spacing w:before="100" w:beforeAutospacing="1" w:after="100" w:afterAutospacing="1" w:line="268" w:lineRule="atLeast"/>
      <w:jc w:val="left"/>
    </w:pPr>
    <w:rPr>
      <w:rFonts w:ascii="Arial Unicode MS" w:hAnsi="Arial Unicode MS" w:eastAsia="Arial Unicode MS"/>
      <w:kern w:val="0"/>
      <w:sz w:val="20"/>
    </w:rPr>
  </w:style>
  <w:style w:type="paragraph" w:customStyle="1" w:styleId="150">
    <w:name w:val="xl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6"/>
      <w:szCs w:val="36"/>
    </w:rPr>
  </w:style>
  <w:style w:type="paragraph" w:customStyle="1" w:styleId="151">
    <w:name w:val="正文+右半页"/>
    <w:basedOn w:val="1"/>
    <w:autoRedefine/>
    <w:qFormat/>
    <w:uiPriority w:val="0"/>
    <w:pPr>
      <w:spacing w:line="269" w:lineRule="auto"/>
      <w:ind w:left="2000" w:leftChars="2000"/>
    </w:pPr>
    <w:rPr>
      <w:szCs w:val="22"/>
    </w:rPr>
  </w:style>
  <w:style w:type="paragraph" w:customStyle="1" w:styleId="152">
    <w:name w:val="标准书眉一"/>
    <w:autoRedefine/>
    <w:qFormat/>
    <w:uiPriority w:val="0"/>
    <w:pPr>
      <w:jc w:val="both"/>
    </w:pPr>
    <w:rPr>
      <w:rFonts w:ascii="Times New Roman" w:hAnsi="Times New Roman" w:eastAsia="宋体" w:cs="Times New Roman"/>
      <w:lang w:val="en-US" w:eastAsia="zh-CN" w:bidi="ar-SA"/>
    </w:rPr>
  </w:style>
  <w:style w:type="paragraph" w:customStyle="1" w:styleId="153">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54">
    <w:name w:val="注×："/>
    <w:autoRedefine/>
    <w:qFormat/>
    <w:uiPriority w:val="0"/>
    <w:pPr>
      <w:widowControl w:val="0"/>
      <w:tabs>
        <w:tab w:val="left" w:pos="630"/>
        <w:tab w:val="left" w:pos="900"/>
      </w:tabs>
      <w:autoSpaceDE w:val="0"/>
      <w:autoSpaceDN w:val="0"/>
      <w:ind w:left="900" w:hanging="500"/>
      <w:jc w:val="both"/>
    </w:pPr>
    <w:rPr>
      <w:rFonts w:ascii="宋体" w:hAnsi="Times New Roman" w:eastAsia="宋体" w:cs="Times New Roman"/>
      <w:sz w:val="18"/>
      <w:lang w:val="en-US" w:eastAsia="zh-CN" w:bidi="ar-SA"/>
    </w:rPr>
  </w:style>
  <w:style w:type="paragraph" w:customStyle="1" w:styleId="155">
    <w:name w:val="列出段落3"/>
    <w:basedOn w:val="1"/>
    <w:autoRedefine/>
    <w:qFormat/>
    <w:uiPriority w:val="0"/>
    <w:pPr>
      <w:ind w:firstLine="420" w:firstLineChars="200"/>
    </w:pPr>
    <w:rPr>
      <w:szCs w:val="22"/>
    </w:rPr>
  </w:style>
  <w:style w:type="paragraph" w:customStyle="1" w:styleId="156">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157">
    <w:name w:val="Default"/>
    <w:autoRedefine/>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58">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kern w:val="0"/>
      <w:sz w:val="28"/>
      <w:szCs w:val="28"/>
    </w:rPr>
  </w:style>
  <w:style w:type="paragraph" w:customStyle="1" w:styleId="159">
    <w:name w:val="xl4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8"/>
      <w:szCs w:val="28"/>
    </w:rPr>
  </w:style>
  <w:style w:type="paragraph" w:customStyle="1" w:styleId="160">
    <w:name w:val="表格文字"/>
    <w:basedOn w:val="1"/>
    <w:autoRedefine/>
    <w:qFormat/>
    <w:uiPriority w:val="0"/>
    <w:pPr>
      <w:spacing w:before="25" w:after="25"/>
      <w:jc w:val="left"/>
    </w:pPr>
    <w:rPr>
      <w:bCs/>
      <w:spacing w:val="10"/>
      <w:kern w:val="0"/>
      <w:sz w:val="24"/>
    </w:rPr>
  </w:style>
  <w:style w:type="paragraph" w:customStyle="1" w:styleId="161">
    <w:name w:val="修订2"/>
    <w:autoRedefine/>
    <w:semiHidden/>
    <w:qFormat/>
    <w:uiPriority w:val="99"/>
    <w:rPr>
      <w:rFonts w:ascii="Times New Roman" w:hAnsi="Times New Roman" w:eastAsia="宋体" w:cs="Times New Roman"/>
      <w:kern w:val="2"/>
      <w:sz w:val="21"/>
      <w:lang w:val="en-US" w:eastAsia="zh-CN" w:bidi="ar-SA"/>
    </w:rPr>
  </w:style>
  <w:style w:type="paragraph" w:customStyle="1" w:styleId="162">
    <w:name w:val="Char1 Char Char Char1"/>
    <w:basedOn w:val="1"/>
    <w:autoRedefine/>
    <w:qFormat/>
    <w:uiPriority w:val="0"/>
    <w:rPr>
      <w:sz w:val="24"/>
      <w:szCs w:val="24"/>
    </w:rPr>
  </w:style>
  <w:style w:type="paragraph" w:customStyle="1" w:styleId="163">
    <w:name w:val="默认段落字体 Para Char Char Char Char Char Char Char"/>
    <w:basedOn w:val="1"/>
    <w:autoRedefine/>
    <w:qFormat/>
    <w:uiPriority w:val="0"/>
    <w:rPr>
      <w:rFonts w:ascii="Tahoma" w:hAnsi="Tahoma"/>
      <w:sz w:val="24"/>
    </w:rPr>
  </w:style>
  <w:style w:type="paragraph" w:customStyle="1" w:styleId="16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eastAsia="Arial Unicode MS"/>
      <w:kern w:val="0"/>
      <w:sz w:val="28"/>
      <w:szCs w:val="28"/>
    </w:rPr>
  </w:style>
  <w:style w:type="paragraph" w:customStyle="1" w:styleId="165">
    <w:name w:val="附录五级条标题"/>
    <w:basedOn w:val="166"/>
    <w:next w:val="75"/>
    <w:autoRedefine/>
    <w:qFormat/>
    <w:uiPriority w:val="0"/>
    <w:pPr>
      <w:tabs>
        <w:tab w:val="left" w:pos="360"/>
        <w:tab w:val="left" w:pos="1560"/>
        <w:tab w:val="left" w:pos="3420"/>
      </w:tabs>
      <w:ind w:left="3420" w:hanging="420"/>
      <w:outlineLvl w:val="6"/>
    </w:pPr>
  </w:style>
  <w:style w:type="paragraph" w:customStyle="1" w:styleId="166">
    <w:name w:val="附录四级条标题"/>
    <w:basedOn w:val="167"/>
    <w:next w:val="75"/>
    <w:autoRedefine/>
    <w:qFormat/>
    <w:uiPriority w:val="0"/>
    <w:pPr>
      <w:tabs>
        <w:tab w:val="left" w:pos="360"/>
        <w:tab w:val="left" w:pos="1560"/>
      </w:tabs>
      <w:ind w:left="0" w:firstLine="0"/>
      <w:outlineLvl w:val="5"/>
    </w:pPr>
  </w:style>
  <w:style w:type="paragraph" w:customStyle="1" w:styleId="167">
    <w:name w:val="附录三级条标题"/>
    <w:basedOn w:val="76"/>
    <w:next w:val="75"/>
    <w:autoRedefine/>
    <w:qFormat/>
    <w:uiPriority w:val="0"/>
    <w:pPr>
      <w:outlineLvl w:val="4"/>
    </w:pPr>
  </w:style>
  <w:style w:type="paragraph" w:customStyle="1" w:styleId="168">
    <w:name w:val="Char Char Char Char Char Char1 Char Char Char Char Char Char Char Char Char Char Char Char Char Char Char Char Char Char Char Char Char Char Char Char Char Char Char Char Char Char Char Char Char Char"/>
    <w:basedOn w:val="1"/>
    <w:autoRedefine/>
    <w:qFormat/>
    <w:uiPriority w:val="0"/>
    <w:pPr>
      <w:spacing w:after="160" w:line="240" w:lineRule="exact"/>
    </w:pPr>
    <w:rPr>
      <w:szCs w:val="24"/>
    </w:rPr>
  </w:style>
  <w:style w:type="paragraph" w:customStyle="1" w:styleId="169">
    <w:name w:val="Char Char2 Char"/>
    <w:basedOn w:val="1"/>
    <w:autoRedefine/>
    <w:qFormat/>
    <w:uiPriority w:val="0"/>
    <w:rPr>
      <w:rFonts w:ascii="宋体" w:hAnsi="宋体"/>
      <w:b/>
      <w:sz w:val="28"/>
      <w:szCs w:val="28"/>
    </w:rPr>
  </w:style>
  <w:style w:type="paragraph" w:customStyle="1" w:styleId="170">
    <w:name w:val="不缩进"/>
    <w:basedOn w:val="1"/>
    <w:autoRedefine/>
    <w:qFormat/>
    <w:uiPriority w:val="0"/>
    <w:pPr>
      <w:spacing w:line="360" w:lineRule="auto"/>
      <w:jc w:val="center"/>
    </w:pPr>
    <w:rPr>
      <w:rFonts w:ascii="宋体" w:hAnsi="宋体"/>
    </w:rPr>
  </w:style>
  <w:style w:type="paragraph" w:customStyle="1" w:styleId="171">
    <w:name w:val="其他发布部门"/>
    <w:basedOn w:val="172"/>
    <w:autoRedefine/>
    <w:qFormat/>
    <w:uiPriority w:val="0"/>
    <w:pPr>
      <w:framePr w:wrap="around"/>
      <w:tabs>
        <w:tab w:val="left" w:pos="1140"/>
      </w:tabs>
      <w:spacing w:line="0" w:lineRule="atLeast"/>
    </w:pPr>
    <w:rPr>
      <w:rFonts w:ascii="黑体" w:eastAsia="黑体"/>
      <w:b w:val="0"/>
    </w:rPr>
  </w:style>
  <w:style w:type="paragraph" w:customStyle="1" w:styleId="172">
    <w:name w:val="发布部门"/>
    <w:next w:val="75"/>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73">
    <w:name w:val="font5"/>
    <w:basedOn w:val="1"/>
    <w:autoRedefine/>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74">
    <w:name w:val="编号列项（三级）"/>
    <w:autoRedefine/>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175">
    <w:name w:val="xl33"/>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176">
    <w:name w:val="Char1"/>
    <w:basedOn w:val="1"/>
    <w:autoRedefine/>
    <w:qFormat/>
    <w:uiPriority w:val="0"/>
    <w:rPr>
      <w:rFonts w:ascii="Tahoma" w:hAnsi="Tahoma"/>
      <w:sz w:val="24"/>
    </w:rPr>
  </w:style>
  <w:style w:type="paragraph" w:customStyle="1" w:styleId="177">
    <w:name w:val="Char"/>
    <w:basedOn w:val="1"/>
    <w:autoRedefine/>
    <w:qFormat/>
    <w:uiPriority w:val="0"/>
    <w:pPr>
      <w:widowControl/>
      <w:spacing w:after="160" w:line="240" w:lineRule="exact"/>
      <w:jc w:val="left"/>
    </w:pPr>
    <w:rPr>
      <w:rFonts w:ascii="Verdana" w:hAnsi="Verdana"/>
      <w:kern w:val="0"/>
      <w:lang w:eastAsia="en-US"/>
    </w:rPr>
  </w:style>
  <w:style w:type="paragraph" w:customStyle="1" w:styleId="178">
    <w:name w:val="D标2"/>
    <w:basedOn w:val="3"/>
    <w:autoRedefine/>
    <w:qFormat/>
    <w:uiPriority w:val="0"/>
    <w:pPr>
      <w:keepLines w:val="0"/>
      <w:widowControl/>
      <w:numPr>
        <w:ilvl w:val="0"/>
        <w:numId w:val="1"/>
      </w:numPr>
      <w:tabs>
        <w:tab w:val="left" w:pos="4301"/>
      </w:tabs>
      <w:autoSpaceDE w:val="0"/>
      <w:autoSpaceDN w:val="0"/>
      <w:adjustRightInd w:val="0"/>
      <w:spacing w:before="360" w:after="0" w:line="480" w:lineRule="exact"/>
      <w:jc w:val="left"/>
    </w:pPr>
    <w:rPr>
      <w:rFonts w:ascii="黑体"/>
      <w:szCs w:val="28"/>
    </w:rPr>
  </w:style>
  <w:style w:type="paragraph" w:customStyle="1" w:styleId="179">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80">
    <w:name w:val="xl38"/>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181">
    <w:name w:val="公文正文"/>
    <w:basedOn w:val="1"/>
    <w:autoRedefine/>
    <w:qFormat/>
    <w:uiPriority w:val="0"/>
    <w:pPr>
      <w:spacing w:line="560" w:lineRule="exact"/>
    </w:pPr>
    <w:rPr>
      <w:rFonts w:ascii="仿宋_GB2312" w:hAnsi="Calibri" w:eastAsia="仿宋_GB2312"/>
      <w:sz w:val="32"/>
      <w:szCs w:val="32"/>
    </w:rPr>
  </w:style>
  <w:style w:type="paragraph" w:customStyle="1" w:styleId="182">
    <w:name w:val="纯文本1"/>
    <w:basedOn w:val="1"/>
    <w:autoRedefine/>
    <w:qFormat/>
    <w:uiPriority w:val="0"/>
    <w:rPr>
      <w:rFonts w:ascii="宋体" w:hAnsi="Courier New"/>
      <w:szCs w:val="21"/>
    </w:rPr>
  </w:style>
  <w:style w:type="paragraph" w:customStyle="1" w:styleId="183">
    <w:name w:val="Char Char1 Char Char Char Char Char Char Char Char"/>
    <w:basedOn w:val="1"/>
    <w:autoRedefine/>
    <w:qFormat/>
    <w:uiPriority w:val="0"/>
    <w:pPr>
      <w:adjustRightInd w:val="0"/>
      <w:spacing w:after="160" w:line="240" w:lineRule="exact"/>
    </w:pPr>
    <w:rPr>
      <w:rFonts w:ascii="Verdana" w:hAnsi="Verdana"/>
      <w:kern w:val="0"/>
      <w:sz w:val="20"/>
      <w:lang w:eastAsia="en-US"/>
    </w:rPr>
  </w:style>
  <w:style w:type="paragraph" w:customStyle="1" w:styleId="184">
    <w:name w:val="Char Char Char Char Char"/>
    <w:basedOn w:val="1"/>
    <w:autoRedefine/>
    <w:qFormat/>
    <w:uiPriority w:val="0"/>
    <w:pPr>
      <w:widowControl/>
      <w:spacing w:after="160" w:line="240" w:lineRule="exact"/>
      <w:jc w:val="left"/>
    </w:pPr>
    <w:rPr>
      <w:rFonts w:ascii="Verdana" w:hAnsi="Verdana"/>
      <w:kern w:val="0"/>
      <w:lang w:eastAsia="en-US"/>
    </w:rPr>
  </w:style>
  <w:style w:type="paragraph" w:customStyle="1" w:styleId="185">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4"/>
      <w:szCs w:val="24"/>
    </w:rPr>
  </w:style>
  <w:style w:type="paragraph" w:customStyle="1" w:styleId="186">
    <w:name w:val="默认段落字体 Para Char"/>
    <w:basedOn w:val="1"/>
    <w:autoRedefine/>
    <w:qFormat/>
    <w:uiPriority w:val="0"/>
    <w:rPr>
      <w:rFonts w:ascii="Tahoma" w:hAnsi="Tahoma"/>
      <w:sz w:val="24"/>
    </w:rPr>
  </w:style>
  <w:style w:type="paragraph" w:customStyle="1" w:styleId="187">
    <w:name w:val="font6"/>
    <w:basedOn w:val="1"/>
    <w:autoRedefine/>
    <w:qFormat/>
    <w:uiPriority w:val="0"/>
    <w:pPr>
      <w:widowControl/>
      <w:tabs>
        <w:tab w:val="left" w:pos="720"/>
      </w:tabs>
      <w:spacing w:before="100" w:beforeAutospacing="1" w:after="100" w:afterAutospacing="1"/>
      <w:jc w:val="left"/>
    </w:pPr>
    <w:rPr>
      <w:rFonts w:hint="eastAsia" w:ascii="宋体" w:hAnsi="宋体" w:cs="Arial Unicode MS"/>
      <w:kern w:val="0"/>
      <w:sz w:val="28"/>
      <w:szCs w:val="28"/>
    </w:rPr>
  </w:style>
  <w:style w:type="paragraph" w:customStyle="1" w:styleId="188">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9">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szCs w:val="24"/>
    </w:rPr>
  </w:style>
  <w:style w:type="paragraph" w:customStyle="1" w:styleId="190">
    <w:name w:val="正文图标题"/>
    <w:next w:val="75"/>
    <w:autoRedefine/>
    <w:qFormat/>
    <w:uiPriority w:val="0"/>
    <w:pPr>
      <w:tabs>
        <w:tab w:val="left" w:pos="720"/>
      </w:tabs>
      <w:ind w:left="720" w:hanging="720"/>
      <w:jc w:val="center"/>
    </w:pPr>
    <w:rPr>
      <w:rFonts w:ascii="黑体" w:hAnsi="Times New Roman" w:eastAsia="黑体" w:cs="Times New Roman"/>
      <w:sz w:val="21"/>
      <w:lang w:val="en-US" w:eastAsia="zh-CN" w:bidi="ar-SA"/>
    </w:rPr>
  </w:style>
  <w:style w:type="paragraph" w:customStyle="1" w:styleId="191">
    <w:name w:val="列项◆（三级）"/>
    <w:autoRedefine/>
    <w:qFormat/>
    <w:uiPriority w:val="0"/>
    <w:pPr>
      <w:tabs>
        <w:tab w:val="left" w:pos="360"/>
      </w:tabs>
      <w:ind w:left="800" w:leftChars="600" w:hanging="200" w:hangingChars="200"/>
    </w:pPr>
    <w:rPr>
      <w:rFonts w:ascii="宋体" w:hAnsi="Times New Roman" w:eastAsia="宋体" w:cs="Times New Roman"/>
      <w:sz w:val="21"/>
      <w:lang w:val="en-US" w:eastAsia="zh-CN" w:bidi="ar-SA"/>
    </w:rPr>
  </w:style>
  <w:style w:type="paragraph" w:customStyle="1" w:styleId="192">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93">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94">
    <w:name w:val="P标3"/>
    <w:basedOn w:val="4"/>
    <w:autoRedefine/>
    <w:qFormat/>
    <w:uiPriority w:val="0"/>
    <w:pPr>
      <w:keepNext w:val="0"/>
      <w:keepLines w:val="0"/>
      <w:tabs>
        <w:tab w:val="left" w:pos="960"/>
      </w:tabs>
      <w:autoSpaceDE w:val="0"/>
      <w:autoSpaceDN w:val="0"/>
      <w:adjustRightInd w:val="0"/>
      <w:spacing w:before="120" w:after="120" w:line="480" w:lineRule="atLeast"/>
      <w:ind w:left="960" w:hanging="420"/>
    </w:pPr>
    <w:rPr>
      <w:rFonts w:hAnsi="Times New Roman" w:eastAsia="楷体_GB2312"/>
      <w:b w:val="0"/>
      <w:kern w:val="0"/>
    </w:rPr>
  </w:style>
  <w:style w:type="paragraph" w:customStyle="1" w:styleId="195">
    <w:name w:val="正文文本 21"/>
    <w:basedOn w:val="1"/>
    <w:autoRedefine/>
    <w:qFormat/>
    <w:uiPriority w:val="0"/>
    <w:pPr>
      <w:adjustRightInd w:val="0"/>
      <w:spacing w:line="360" w:lineRule="atLeast"/>
      <w:ind w:firstLine="525"/>
    </w:pPr>
    <w:rPr>
      <w:rFonts w:hint="eastAsia" w:ascii="宋体"/>
      <w:kern w:val="0"/>
      <w:sz w:val="28"/>
    </w:rPr>
  </w:style>
  <w:style w:type="paragraph" w:customStyle="1" w:styleId="196">
    <w:name w:val="字母编号列项（一级）"/>
    <w:autoRedefine/>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97">
    <w:name w:val="封面一致性程度标识"/>
    <w:autoRedefine/>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98">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199">
    <w:name w:val="连续正文文字"/>
    <w:basedOn w:val="21"/>
    <w:next w:val="21"/>
    <w:autoRedefine/>
    <w:qFormat/>
    <w:uiPriority w:val="0"/>
    <w:pPr>
      <w:keepNext/>
      <w:widowControl/>
      <w:spacing w:after="240" w:line="240" w:lineRule="auto"/>
    </w:pPr>
    <w:rPr>
      <w:rFonts w:ascii="Garamond" w:hAnsi="Garamond" w:eastAsia="Times New Roman"/>
      <w:b w:val="0"/>
      <w:spacing w:val="-5"/>
      <w:kern w:val="0"/>
      <w:sz w:val="24"/>
    </w:rPr>
  </w:style>
  <w:style w:type="paragraph" w:customStyle="1" w:styleId="200">
    <w:name w:val="封面标准名称"/>
    <w:autoRedefine/>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01">
    <w:name w:val="_Style 1"/>
    <w:basedOn w:val="1"/>
    <w:autoRedefine/>
    <w:qFormat/>
    <w:uiPriority w:val="34"/>
    <w:pPr>
      <w:ind w:firstLine="420" w:firstLineChars="200"/>
    </w:pPr>
    <w:rPr>
      <w:szCs w:val="22"/>
    </w:rPr>
  </w:style>
  <w:style w:type="paragraph" w:customStyle="1" w:styleId="202">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03">
    <w:name w:val="表"/>
    <w:basedOn w:val="1"/>
    <w:autoRedefine/>
    <w:qFormat/>
    <w:uiPriority w:val="0"/>
    <w:pPr>
      <w:spacing w:line="360" w:lineRule="auto"/>
    </w:pPr>
    <w:rPr>
      <w:rFonts w:ascii="宋体" w:hAnsi="宋体"/>
      <w:b/>
      <w:bCs/>
    </w:rPr>
  </w:style>
  <w:style w:type="paragraph" w:customStyle="1" w:styleId="204">
    <w:name w:val="Char Char Char Char Char Char Char Char Char Char Char Char Char Char Char Char Char Char Char Char Char Char Char Char Char Char Char Char"/>
    <w:basedOn w:val="1"/>
    <w:autoRedefine/>
    <w:qFormat/>
    <w:uiPriority w:val="0"/>
    <w:pPr>
      <w:tabs>
        <w:tab w:val="left" w:pos="1031"/>
      </w:tabs>
      <w:ind w:left="1031" w:hanging="851"/>
    </w:pPr>
    <w:rPr>
      <w:sz w:val="24"/>
      <w:szCs w:val="24"/>
    </w:rPr>
  </w:style>
  <w:style w:type="paragraph" w:customStyle="1" w:styleId="205">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样式 首行缩进:  2 字符1"/>
    <w:basedOn w:val="1"/>
    <w:autoRedefine/>
    <w:qFormat/>
    <w:uiPriority w:val="0"/>
    <w:pPr>
      <w:spacing w:line="360" w:lineRule="auto"/>
      <w:ind w:firstLine="480" w:firstLineChars="200"/>
      <w:jc w:val="left"/>
    </w:pPr>
    <w:rPr>
      <w:rFonts w:ascii="宋体" w:hAnsi="宋体" w:cs="宋体"/>
      <w:sz w:val="24"/>
    </w:rPr>
  </w:style>
  <w:style w:type="paragraph" w:customStyle="1" w:styleId="207">
    <w:name w:val="xl111"/>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208">
    <w:name w:val="Char Char Char Char Char Char Char Char Char Char2"/>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209">
    <w:name w:val="130"/>
    <w:basedOn w:val="1"/>
    <w:autoRedefine/>
    <w:qFormat/>
    <w:uiPriority w:val="0"/>
    <w:pPr>
      <w:widowControl/>
      <w:spacing w:before="100" w:beforeAutospacing="1" w:after="100" w:afterAutospacing="1" w:line="324" w:lineRule="auto"/>
      <w:jc w:val="left"/>
    </w:pPr>
    <w:rPr>
      <w:rFonts w:ascii="宋体" w:hAnsi="宋体"/>
      <w:color w:val="000000"/>
      <w:kern w:val="0"/>
      <w:sz w:val="24"/>
      <w:szCs w:val="24"/>
    </w:rPr>
  </w:style>
  <w:style w:type="paragraph" w:customStyle="1" w:styleId="210">
    <w:name w:val="font8"/>
    <w:basedOn w:val="1"/>
    <w:autoRedefine/>
    <w:qFormat/>
    <w:uiPriority w:val="0"/>
    <w:pPr>
      <w:widowControl/>
      <w:spacing w:before="100" w:beforeAutospacing="1" w:after="100" w:afterAutospacing="1"/>
      <w:jc w:val="left"/>
    </w:pPr>
    <w:rPr>
      <w:rFonts w:eastAsia="Arial Unicode MS"/>
      <w:kern w:val="0"/>
      <w:sz w:val="28"/>
      <w:szCs w:val="28"/>
      <w:u w:val="single"/>
    </w:rPr>
  </w:style>
  <w:style w:type="paragraph" w:customStyle="1" w:styleId="211">
    <w:name w:val="设计方案"/>
    <w:basedOn w:val="1"/>
    <w:autoRedefine/>
    <w:qFormat/>
    <w:uiPriority w:val="0"/>
    <w:pPr>
      <w:widowControl/>
      <w:spacing w:after="160" w:line="240" w:lineRule="exact"/>
      <w:jc w:val="left"/>
    </w:pPr>
    <w:rPr>
      <w:rFonts w:ascii="Verdana" w:hAnsi="Verdana"/>
      <w:kern w:val="0"/>
      <w:lang w:eastAsia="en-US"/>
    </w:rPr>
  </w:style>
  <w:style w:type="paragraph" w:customStyle="1" w:styleId="212">
    <w:name w:val="xl29"/>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213">
    <w:name w:val="条文脚注"/>
    <w:basedOn w:val="37"/>
    <w:autoRedefine/>
    <w:qFormat/>
    <w:uiPriority w:val="0"/>
    <w:pPr>
      <w:ind w:left="780" w:leftChars="200" w:hanging="360" w:hangingChars="200"/>
      <w:jc w:val="both"/>
    </w:pPr>
    <w:rPr>
      <w:rFonts w:ascii="宋体"/>
    </w:rPr>
  </w:style>
  <w:style w:type="paragraph" w:customStyle="1" w:styleId="214">
    <w:name w:val="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215">
    <w:name w:val="_Style 213"/>
    <w:autoRedefine/>
    <w:unhideWhenUsed/>
    <w:qFormat/>
    <w:uiPriority w:val="99"/>
    <w:rPr>
      <w:rFonts w:ascii="Times New Roman" w:hAnsi="Times New Roman" w:eastAsia="宋体" w:cs="Times New Roman"/>
      <w:kern w:val="2"/>
      <w:sz w:val="21"/>
      <w:lang w:val="en-US" w:eastAsia="zh-CN" w:bidi="ar-SA"/>
    </w:rPr>
  </w:style>
  <w:style w:type="paragraph" w:customStyle="1" w:styleId="216">
    <w:name w:val="tgt1"/>
    <w:basedOn w:val="1"/>
    <w:autoRedefine/>
    <w:qFormat/>
    <w:uiPriority w:val="0"/>
    <w:pPr>
      <w:widowControl/>
      <w:spacing w:after="136"/>
      <w:jc w:val="left"/>
    </w:pPr>
    <w:rPr>
      <w:rFonts w:ascii="宋体" w:hAnsi="宋体" w:cs="宋体"/>
      <w:kern w:val="0"/>
      <w:sz w:val="24"/>
      <w:szCs w:val="22"/>
    </w:rPr>
  </w:style>
  <w:style w:type="paragraph" w:customStyle="1" w:styleId="217">
    <w:name w:val="题注5"/>
    <w:basedOn w:val="1"/>
    <w:next w:val="13"/>
    <w:autoRedefine/>
    <w:qFormat/>
    <w:uiPriority w:val="0"/>
    <w:pPr>
      <w:jc w:val="center"/>
    </w:pPr>
    <w:rPr>
      <w:b/>
      <w:color w:val="000000"/>
      <w:sz w:val="24"/>
      <w:szCs w:val="21"/>
    </w:rPr>
  </w:style>
  <w:style w:type="paragraph" w:customStyle="1" w:styleId="218">
    <w:name w:val="纯文本11"/>
    <w:basedOn w:val="1"/>
    <w:autoRedefine/>
    <w:qFormat/>
    <w:uiPriority w:val="0"/>
    <w:pPr>
      <w:adjustRightInd w:val="0"/>
      <w:textAlignment w:val="baseline"/>
    </w:pPr>
    <w:rPr>
      <w:rFonts w:ascii="宋体"/>
      <w:kern w:val="0"/>
      <w:sz w:val="24"/>
    </w:rPr>
  </w:style>
  <w:style w:type="paragraph" w:customStyle="1" w:styleId="219">
    <w:name w:val="xl24"/>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220">
    <w:name w:val="样式 样式 正文首行缩进 + (符号) 宋体 + 左侧:  2 字符 首行缩进:  2 字符"/>
    <w:basedOn w:val="1"/>
    <w:autoRedefine/>
    <w:qFormat/>
    <w:uiPriority w:val="0"/>
    <w:pPr>
      <w:spacing w:line="360" w:lineRule="auto"/>
      <w:ind w:firstLine="200" w:firstLineChars="200"/>
      <w:jc w:val="left"/>
    </w:pPr>
    <w:rPr>
      <w:rFonts w:hAnsi="宋体"/>
      <w:kern w:val="0"/>
      <w:lang w:eastAsia="en-US"/>
    </w:rPr>
  </w:style>
  <w:style w:type="paragraph" w:customStyle="1" w:styleId="221">
    <w:name w:val="目次、索引正文"/>
    <w:autoRedefine/>
    <w:qFormat/>
    <w:uiPriority w:val="0"/>
    <w:pPr>
      <w:tabs>
        <w:tab w:val="left" w:pos="1182"/>
      </w:tabs>
      <w:spacing w:line="320" w:lineRule="exact"/>
      <w:jc w:val="both"/>
    </w:pPr>
    <w:rPr>
      <w:rFonts w:ascii="宋体" w:hAnsi="Times New Roman" w:eastAsia="宋体" w:cs="Times New Roman"/>
      <w:sz w:val="21"/>
      <w:lang w:val="en-US" w:eastAsia="zh-CN" w:bidi="ar-SA"/>
    </w:rPr>
  </w:style>
  <w:style w:type="paragraph" w:customStyle="1" w:styleId="222">
    <w:name w:val="文献分类号"/>
    <w:autoRedefine/>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223">
    <w:name w:val="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224">
    <w:name w:val="普通 (Web)"/>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225">
    <w:name w:val="列出段落11"/>
    <w:basedOn w:val="1"/>
    <w:autoRedefine/>
    <w:qFormat/>
    <w:uiPriority w:val="0"/>
    <w:pPr>
      <w:ind w:firstLine="420" w:firstLineChars="200"/>
    </w:pPr>
  </w:style>
  <w:style w:type="paragraph" w:customStyle="1" w:styleId="226">
    <w:name w:val="p0"/>
    <w:basedOn w:val="1"/>
    <w:autoRedefine/>
    <w:qFormat/>
    <w:uiPriority w:val="0"/>
    <w:pPr>
      <w:widowControl/>
    </w:pPr>
    <w:rPr>
      <w:kern w:val="0"/>
      <w:szCs w:val="21"/>
    </w:rPr>
  </w:style>
  <w:style w:type="paragraph" w:customStyle="1" w:styleId="227">
    <w:name w:val="p15"/>
    <w:basedOn w:val="1"/>
    <w:autoRedefine/>
    <w:qFormat/>
    <w:uiPriority w:val="0"/>
    <w:pPr>
      <w:widowControl/>
    </w:pPr>
    <w:rPr>
      <w:kern w:val="0"/>
      <w:szCs w:val="21"/>
    </w:rPr>
  </w:style>
  <w:style w:type="paragraph" w:customStyle="1" w:styleId="228">
    <w:name w:val="font7"/>
    <w:basedOn w:val="1"/>
    <w:autoRedefine/>
    <w:qFormat/>
    <w:uiPriority w:val="0"/>
    <w:pPr>
      <w:widowControl/>
      <w:spacing w:before="100" w:beforeAutospacing="1" w:after="100" w:afterAutospacing="1"/>
      <w:jc w:val="left"/>
    </w:pPr>
    <w:rPr>
      <w:rFonts w:eastAsia="Arial Unicode MS"/>
      <w:kern w:val="0"/>
      <w:sz w:val="28"/>
      <w:szCs w:val="28"/>
    </w:rPr>
  </w:style>
  <w:style w:type="paragraph" w:customStyle="1" w:styleId="229">
    <w:name w:val="标题样式2"/>
    <w:basedOn w:val="63"/>
    <w:autoRedefine/>
    <w:qFormat/>
    <w:uiPriority w:val="0"/>
    <w:pPr>
      <w:tabs>
        <w:tab w:val="left" w:pos="1260"/>
      </w:tabs>
      <w:spacing w:line="360" w:lineRule="auto"/>
      <w:ind w:left="1260" w:hanging="360" w:firstLineChars="0"/>
    </w:pPr>
    <w:rPr>
      <w:rFonts w:ascii="Times New Roman" w:hAnsi="Times New Roman"/>
      <w:b/>
      <w:szCs w:val="20"/>
    </w:rPr>
  </w:style>
  <w:style w:type="paragraph" w:customStyle="1" w:styleId="230">
    <w:name w:val="标准书脚_偶数页"/>
    <w:autoRedefine/>
    <w:qFormat/>
    <w:uiPriority w:val="0"/>
    <w:pPr>
      <w:spacing w:before="120"/>
    </w:pPr>
    <w:rPr>
      <w:rFonts w:ascii="Times New Roman" w:hAnsi="Times New Roman" w:eastAsia="宋体" w:cs="Times New Roman"/>
      <w:sz w:val="18"/>
      <w:lang w:val="en-US" w:eastAsia="zh-CN" w:bidi="ar-SA"/>
    </w:rPr>
  </w:style>
  <w:style w:type="paragraph" w:customStyle="1" w:styleId="231">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4"/>
      <w:szCs w:val="24"/>
    </w:rPr>
  </w:style>
  <w:style w:type="paragraph" w:customStyle="1" w:styleId="232">
    <w:name w:val="Char Char1 Char Char Char Char Char Char Char Char Char Char Char Char Char Char"/>
    <w:basedOn w:val="1"/>
    <w:autoRedefine/>
    <w:qFormat/>
    <w:uiPriority w:val="0"/>
    <w:pPr>
      <w:widowControl/>
      <w:spacing w:after="160" w:line="240" w:lineRule="exact"/>
      <w:jc w:val="left"/>
    </w:pPr>
    <w:rPr>
      <w:rFonts w:ascii="(使用中文字体)" w:hAnsi="(使用中文字体)" w:cs="Garamond"/>
      <w:kern w:val="0"/>
      <w:sz w:val="20"/>
      <w:lang w:eastAsia="en-US"/>
    </w:rPr>
  </w:style>
  <w:style w:type="paragraph" w:customStyle="1" w:styleId="233">
    <w:name w:val="列出段落5"/>
    <w:basedOn w:val="1"/>
    <w:autoRedefine/>
    <w:qFormat/>
    <w:uiPriority w:val="99"/>
    <w:pPr>
      <w:ind w:firstLine="420" w:firstLineChars="200"/>
    </w:pPr>
    <w:rPr>
      <w:szCs w:val="22"/>
    </w:rPr>
  </w:style>
  <w:style w:type="paragraph" w:customStyle="1" w:styleId="234">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b/>
      <w:bCs/>
      <w:color w:val="000000"/>
      <w:kern w:val="0"/>
      <w:sz w:val="24"/>
      <w:szCs w:val="24"/>
    </w:rPr>
  </w:style>
  <w:style w:type="paragraph" w:customStyle="1" w:styleId="235">
    <w:name w:val="正文缩进2"/>
    <w:basedOn w:val="1"/>
    <w:autoRedefine/>
    <w:qFormat/>
    <w:uiPriority w:val="0"/>
    <w:pPr>
      <w:ind w:firstLine="420"/>
    </w:pPr>
    <w:rPr>
      <w:rFonts w:hAnsi="Calibri"/>
      <w:szCs w:val="22"/>
    </w:rPr>
  </w:style>
  <w:style w:type="paragraph" w:customStyle="1" w:styleId="236">
    <w:name w:val="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237">
    <w:name w:val="正文文本缩进1"/>
    <w:basedOn w:val="1"/>
    <w:autoRedefine/>
    <w:qFormat/>
    <w:uiPriority w:val="0"/>
    <w:pPr>
      <w:adjustRightInd w:val="0"/>
      <w:spacing w:line="312" w:lineRule="atLeast"/>
      <w:ind w:left="585"/>
    </w:pPr>
    <w:rPr>
      <w:rFonts w:ascii="Calibri" w:hAnsi="Calibri" w:cs="黑体"/>
      <w:sz w:val="28"/>
      <w:szCs w:val="22"/>
    </w:rPr>
  </w:style>
  <w:style w:type="paragraph" w:customStyle="1" w:styleId="238">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4"/>
      <w:szCs w:val="24"/>
    </w:rPr>
  </w:style>
  <w:style w:type="paragraph" w:customStyle="1" w:styleId="239">
    <w:name w:val="数字编号列项（二级）"/>
    <w:autoRedefine/>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240">
    <w:name w:val="xl30"/>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eastAsia="Arial Unicode MS"/>
      <w:kern w:val="0"/>
      <w:sz w:val="20"/>
    </w:rPr>
  </w:style>
  <w:style w:type="paragraph" w:customStyle="1" w:styleId="241">
    <w:name w:val="Char Char13"/>
    <w:basedOn w:val="1"/>
    <w:autoRedefine/>
    <w:qFormat/>
    <w:uiPriority w:val="0"/>
    <w:rPr>
      <w:rFonts w:ascii="Tahoma" w:hAnsi="Tahoma"/>
      <w:sz w:val="24"/>
    </w:rPr>
  </w:style>
  <w:style w:type="paragraph" w:customStyle="1" w:styleId="242">
    <w:name w:val="p1215"/>
    <w:basedOn w:val="1"/>
    <w:autoRedefine/>
    <w:qFormat/>
    <w:uiPriority w:val="0"/>
    <w:pPr>
      <w:widowControl/>
      <w:spacing w:before="100" w:beforeAutospacing="1" w:after="100" w:afterAutospacing="1"/>
      <w:jc w:val="left"/>
    </w:pPr>
    <w:rPr>
      <w:rFonts w:ascii="宋体" w:hAnsi="宋体"/>
      <w:color w:val="003399"/>
      <w:kern w:val="0"/>
      <w:sz w:val="24"/>
      <w:szCs w:val="24"/>
    </w:rPr>
  </w:style>
  <w:style w:type="paragraph" w:customStyle="1" w:styleId="243">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244">
    <w:name w:val="封面正文"/>
    <w:autoRedefine/>
    <w:qFormat/>
    <w:uiPriority w:val="0"/>
    <w:pPr>
      <w:jc w:val="both"/>
    </w:pPr>
    <w:rPr>
      <w:rFonts w:ascii="Times New Roman" w:hAnsi="Times New Roman" w:eastAsia="宋体" w:cs="Times New Roman"/>
      <w:lang w:val="en-US" w:eastAsia="zh-CN" w:bidi="ar-SA"/>
    </w:rPr>
  </w:style>
  <w:style w:type="paragraph" w:customStyle="1" w:styleId="245">
    <w:name w:val="附录图标题"/>
    <w:next w:val="75"/>
    <w:autoRedefine/>
    <w:qFormat/>
    <w:uiPriority w:val="0"/>
    <w:pPr>
      <w:tabs>
        <w:tab w:val="left" w:pos="360"/>
      </w:tabs>
      <w:ind w:left="360" w:hanging="360"/>
      <w:jc w:val="center"/>
    </w:pPr>
    <w:rPr>
      <w:rFonts w:ascii="黑体" w:hAnsi="Times New Roman" w:eastAsia="黑体" w:cs="Times New Roman"/>
      <w:sz w:val="21"/>
      <w:lang w:val="en-US" w:eastAsia="zh-CN" w:bidi="ar-SA"/>
    </w:rPr>
  </w:style>
  <w:style w:type="paragraph" w:customStyle="1" w:styleId="246">
    <w:name w:val="Char Char Char Char1"/>
    <w:basedOn w:val="1"/>
    <w:autoRedefine/>
    <w:qFormat/>
    <w:uiPriority w:val="0"/>
    <w:pPr>
      <w:widowControl/>
      <w:spacing w:after="160" w:line="240" w:lineRule="exact"/>
      <w:jc w:val="left"/>
    </w:pPr>
    <w:rPr>
      <w:rFonts w:ascii="Verdana" w:hAnsi="Verdana" w:eastAsia="楷体_GB2312" w:cs="Verdana"/>
      <w:b/>
      <w:bCs/>
      <w:i/>
      <w:iCs/>
      <w:color w:val="000000"/>
      <w:kern w:val="0"/>
      <w:sz w:val="20"/>
      <w:lang w:eastAsia="en-US"/>
    </w:rPr>
  </w:style>
  <w:style w:type="paragraph" w:customStyle="1" w:styleId="247">
    <w:name w:val="xl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color w:val="000000"/>
      <w:kern w:val="0"/>
      <w:sz w:val="24"/>
      <w:szCs w:val="24"/>
    </w:rPr>
  </w:style>
  <w:style w:type="paragraph" w:customStyle="1" w:styleId="24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8"/>
      <w:szCs w:val="28"/>
    </w:rPr>
  </w:style>
  <w:style w:type="paragraph" w:customStyle="1" w:styleId="249">
    <w:name w:val="Char Char Char Char Char Char Char Char1 Char"/>
    <w:basedOn w:val="1"/>
    <w:autoRedefine/>
    <w:qFormat/>
    <w:uiPriority w:val="0"/>
    <w:rPr>
      <w:rFonts w:ascii="Tahoma" w:hAnsi="Tahoma" w:cs="宋体"/>
      <w:kern w:val="0"/>
      <w:sz w:val="24"/>
    </w:rPr>
  </w:style>
  <w:style w:type="paragraph" w:customStyle="1" w:styleId="250">
    <w:name w:val="列出段落8"/>
    <w:basedOn w:val="1"/>
    <w:autoRedefine/>
    <w:qFormat/>
    <w:uiPriority w:val="34"/>
    <w:pPr>
      <w:ind w:firstLine="420" w:firstLineChars="200"/>
    </w:pPr>
    <w:rPr>
      <w:szCs w:val="22"/>
    </w:rPr>
  </w:style>
  <w:style w:type="paragraph" w:customStyle="1" w:styleId="251">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52">
    <w:name w:val="Table Paragraph"/>
    <w:basedOn w:val="1"/>
    <w:autoRedefine/>
    <w:qFormat/>
    <w:uiPriority w:val="1"/>
    <w:pPr>
      <w:autoSpaceDE w:val="0"/>
      <w:autoSpaceDN w:val="0"/>
      <w:jc w:val="left"/>
    </w:pPr>
    <w:rPr>
      <w:rFonts w:ascii="宋体" w:hAnsi="宋体" w:cs="宋体"/>
      <w:kern w:val="0"/>
      <w:sz w:val="22"/>
      <w:szCs w:val="22"/>
      <w:lang w:val="zh-CN" w:bidi="zh-CN"/>
    </w:rPr>
  </w:style>
  <w:style w:type="character" w:customStyle="1" w:styleId="253">
    <w:name w:val="标题 3 Char"/>
    <w:link w:val="4"/>
    <w:autoRedefine/>
    <w:qFormat/>
    <w:locked/>
    <w:uiPriority w:val="0"/>
    <w:rPr>
      <w:rFonts w:ascii="宋体" w:hAnsi="宋体"/>
      <w:b/>
      <w:kern w:val="2"/>
      <w:sz w:val="24"/>
    </w:rPr>
  </w:style>
  <w:style w:type="character" w:customStyle="1" w:styleId="254">
    <w:name w:val="正文缩进 Char"/>
    <w:link w:val="5"/>
    <w:autoRedefine/>
    <w:qFormat/>
    <w:uiPriority w:val="0"/>
    <w:rPr>
      <w:rFonts w:eastAsia="宋体"/>
      <w:kern w:val="2"/>
      <w:sz w:val="21"/>
      <w:lang w:val="en-US" w:eastAsia="zh-CN" w:bidi="ar-SA"/>
    </w:rPr>
  </w:style>
  <w:style w:type="character" w:customStyle="1" w:styleId="255">
    <w:name w:val="标题 4 Char"/>
    <w:link w:val="6"/>
    <w:autoRedefine/>
    <w:qFormat/>
    <w:uiPriority w:val="0"/>
    <w:rPr>
      <w:rFonts w:ascii="楷体_GB2312"/>
      <w:b/>
      <w:kern w:val="2"/>
      <w:sz w:val="24"/>
    </w:rPr>
  </w:style>
  <w:style w:type="character" w:customStyle="1" w:styleId="256">
    <w:name w:val="标题 5 Char"/>
    <w:link w:val="7"/>
    <w:autoRedefine/>
    <w:qFormat/>
    <w:uiPriority w:val="0"/>
    <w:rPr>
      <w:rFonts w:ascii="Arial" w:hAnsi="Arial"/>
      <w:sz w:val="22"/>
    </w:rPr>
  </w:style>
  <w:style w:type="character" w:customStyle="1" w:styleId="257">
    <w:name w:val="标题 6 Char"/>
    <w:link w:val="8"/>
    <w:autoRedefine/>
    <w:qFormat/>
    <w:uiPriority w:val="0"/>
    <w:rPr>
      <w:rFonts w:hAnsi="Arial"/>
      <w:i/>
      <w:sz w:val="22"/>
    </w:rPr>
  </w:style>
  <w:style w:type="character" w:customStyle="1" w:styleId="258">
    <w:name w:val="标题 7 Char"/>
    <w:link w:val="9"/>
    <w:autoRedefine/>
    <w:qFormat/>
    <w:uiPriority w:val="0"/>
    <w:rPr>
      <w:rFonts w:ascii="Arial" w:hAnsi="Arial"/>
    </w:rPr>
  </w:style>
  <w:style w:type="character" w:customStyle="1" w:styleId="259">
    <w:name w:val="标题 8 Char"/>
    <w:link w:val="10"/>
    <w:autoRedefine/>
    <w:qFormat/>
    <w:uiPriority w:val="0"/>
    <w:rPr>
      <w:rFonts w:ascii="Arial" w:hAnsi="Arial"/>
      <w:i/>
    </w:rPr>
  </w:style>
  <w:style w:type="character" w:customStyle="1" w:styleId="260">
    <w:name w:val="标题 9 Char"/>
    <w:link w:val="11"/>
    <w:autoRedefine/>
    <w:qFormat/>
    <w:uiPriority w:val="0"/>
    <w:rPr>
      <w:rFonts w:ascii="Arial" w:hAnsi="Arial"/>
      <w:b/>
      <w:i/>
      <w:sz w:val="18"/>
    </w:rPr>
  </w:style>
  <w:style w:type="character" w:customStyle="1" w:styleId="261">
    <w:name w:val="文档结构图 Char"/>
    <w:link w:val="15"/>
    <w:autoRedefine/>
    <w:semiHidden/>
    <w:qFormat/>
    <w:uiPriority w:val="99"/>
    <w:rPr>
      <w:kern w:val="2"/>
      <w:sz w:val="21"/>
      <w:shd w:val="clear" w:color="auto" w:fill="000080"/>
    </w:rPr>
  </w:style>
  <w:style w:type="character" w:customStyle="1" w:styleId="262">
    <w:name w:val="批注文字 Char"/>
    <w:link w:val="17"/>
    <w:autoRedefine/>
    <w:qFormat/>
    <w:uiPriority w:val="0"/>
    <w:rPr>
      <w:rFonts w:eastAsia="宋体"/>
      <w:kern w:val="2"/>
      <w:sz w:val="21"/>
      <w:szCs w:val="24"/>
      <w:lang w:val="en-US" w:eastAsia="zh-CN" w:bidi="ar-SA"/>
    </w:rPr>
  </w:style>
  <w:style w:type="character" w:customStyle="1" w:styleId="263">
    <w:name w:val="正文文本 Char"/>
    <w:link w:val="21"/>
    <w:autoRedefine/>
    <w:qFormat/>
    <w:uiPriority w:val="0"/>
    <w:rPr>
      <w:rFonts w:ascii="楷体_GB2312" w:eastAsia="楷体_GB2312"/>
      <w:b/>
      <w:kern w:val="2"/>
      <w:sz w:val="30"/>
      <w:lang w:bidi="ar-SA"/>
    </w:rPr>
  </w:style>
  <w:style w:type="character" w:customStyle="1" w:styleId="264">
    <w:name w:val="正文文本缩进 Char"/>
    <w:link w:val="22"/>
    <w:autoRedefine/>
    <w:qFormat/>
    <w:uiPriority w:val="0"/>
    <w:rPr>
      <w:rFonts w:ascii="楷体_GB2312" w:hAnsi="宋体" w:eastAsia="楷体_GB2312"/>
      <w:kern w:val="2"/>
      <w:sz w:val="28"/>
    </w:rPr>
  </w:style>
  <w:style w:type="character" w:customStyle="1" w:styleId="265">
    <w:name w:val="纯文本 Char"/>
    <w:link w:val="25"/>
    <w:autoRedefine/>
    <w:qFormat/>
    <w:uiPriority w:val="0"/>
    <w:rPr>
      <w:rFonts w:ascii="宋体" w:hAnsi="Courier New" w:eastAsia="宋体"/>
      <w:kern w:val="2"/>
      <w:sz w:val="21"/>
      <w:lang w:val="en-US" w:eastAsia="zh-CN" w:bidi="ar-SA"/>
    </w:rPr>
  </w:style>
  <w:style w:type="character" w:customStyle="1" w:styleId="266">
    <w:name w:val="日期 Char"/>
    <w:link w:val="27"/>
    <w:autoRedefine/>
    <w:qFormat/>
    <w:uiPriority w:val="0"/>
    <w:rPr>
      <w:sz w:val="32"/>
    </w:rPr>
  </w:style>
  <w:style w:type="character" w:customStyle="1" w:styleId="267">
    <w:name w:val="批注框文本 Char"/>
    <w:link w:val="29"/>
    <w:autoRedefine/>
    <w:qFormat/>
    <w:uiPriority w:val="99"/>
    <w:rPr>
      <w:kern w:val="2"/>
      <w:sz w:val="18"/>
      <w:szCs w:val="18"/>
    </w:rPr>
  </w:style>
  <w:style w:type="character" w:customStyle="1" w:styleId="268">
    <w:name w:val="页脚 Char"/>
    <w:link w:val="30"/>
    <w:autoRedefine/>
    <w:qFormat/>
    <w:uiPriority w:val="99"/>
    <w:rPr>
      <w:rFonts w:eastAsia="宋体"/>
      <w:kern w:val="2"/>
      <w:sz w:val="18"/>
      <w:lang w:bidi="ar-SA"/>
    </w:rPr>
  </w:style>
  <w:style w:type="character" w:customStyle="1" w:styleId="269">
    <w:name w:val="页眉 Char"/>
    <w:link w:val="31"/>
    <w:autoRedefine/>
    <w:qFormat/>
    <w:uiPriority w:val="99"/>
    <w:rPr>
      <w:rFonts w:eastAsia="宋体"/>
      <w:kern w:val="2"/>
      <w:sz w:val="18"/>
      <w:szCs w:val="18"/>
      <w:lang w:val="en-US" w:eastAsia="zh-CN" w:bidi="ar-SA"/>
    </w:rPr>
  </w:style>
  <w:style w:type="character" w:customStyle="1" w:styleId="270">
    <w:name w:val="脚注文本 Char"/>
    <w:link w:val="37"/>
    <w:autoRedefine/>
    <w:qFormat/>
    <w:uiPriority w:val="0"/>
    <w:rPr>
      <w:rFonts w:eastAsia="宋体"/>
      <w:kern w:val="2"/>
      <w:sz w:val="18"/>
      <w:szCs w:val="18"/>
      <w:lang w:bidi="ar-SA"/>
    </w:rPr>
  </w:style>
  <w:style w:type="character" w:customStyle="1" w:styleId="271">
    <w:name w:val="HTML 预设格式 Char"/>
    <w:link w:val="44"/>
    <w:autoRedefine/>
    <w:qFormat/>
    <w:uiPriority w:val="0"/>
    <w:rPr>
      <w:rFonts w:ascii="黑体" w:hAnsi="Courier New" w:eastAsia="黑体"/>
      <w:lang w:bidi="ar-SA"/>
    </w:rPr>
  </w:style>
  <w:style w:type="character" w:customStyle="1" w:styleId="272">
    <w:name w:val="标题 Char"/>
    <w:link w:val="46"/>
    <w:autoRedefine/>
    <w:qFormat/>
    <w:uiPriority w:val="0"/>
    <w:rPr>
      <w:rFonts w:ascii="Arial" w:hAnsi="Arial" w:eastAsia="宋体" w:cs="Arial"/>
      <w:b/>
      <w:bCs/>
      <w:kern w:val="2"/>
      <w:sz w:val="32"/>
      <w:szCs w:val="32"/>
      <w:lang w:val="en-US" w:eastAsia="zh-CN" w:bidi="ar-SA"/>
    </w:rPr>
  </w:style>
  <w:style w:type="character" w:customStyle="1" w:styleId="273">
    <w:name w:val="批注主题 Char"/>
    <w:link w:val="47"/>
    <w:autoRedefine/>
    <w:semiHidden/>
    <w:qFormat/>
    <w:uiPriority w:val="99"/>
    <w:rPr>
      <w:rFonts w:eastAsia="宋体"/>
      <w:b/>
      <w:bCs/>
      <w:kern w:val="2"/>
      <w:sz w:val="21"/>
      <w:lang w:val="en-US" w:eastAsia="zh-CN" w:bidi="ar-SA"/>
    </w:rPr>
  </w:style>
  <w:style w:type="character" w:customStyle="1" w:styleId="274">
    <w:name w:val="正文首行缩进 Char"/>
    <w:link w:val="48"/>
    <w:autoRedefine/>
    <w:qFormat/>
    <w:uiPriority w:val="0"/>
    <w:rPr>
      <w:rFonts w:ascii="楷体_GB2312" w:eastAsia="楷体_GB2312"/>
      <w:kern w:val="2"/>
      <w:sz w:val="21"/>
      <w:lang w:bidi="ar-SA"/>
    </w:rPr>
  </w:style>
  <w:style w:type="character" w:customStyle="1" w:styleId="275">
    <w:name w:val="正文首行缩进 2 Char"/>
    <w:link w:val="49"/>
    <w:autoRedefine/>
    <w:qFormat/>
    <w:uiPriority w:val="0"/>
    <w:rPr>
      <w:rFonts w:ascii="楷体_GB2312" w:hAnsi="宋体" w:eastAsia="楷体_GB2312"/>
      <w:kern w:val="2"/>
      <w:sz w:val="21"/>
      <w:lang w:val="en-US" w:eastAsia="zh-CN" w:bidi="ar-SA"/>
    </w:rPr>
  </w:style>
  <w:style w:type="character" w:customStyle="1" w:styleId="276">
    <w:name w:val="标题 2 Char"/>
    <w:autoRedefine/>
    <w:qFormat/>
    <w:uiPriority w:val="0"/>
    <w:rPr>
      <w:rFonts w:ascii="Arial" w:hAnsi="Arial" w:eastAsia="黑体"/>
      <w:b/>
      <w:bCs/>
      <w:kern w:val="2"/>
      <w:sz w:val="32"/>
      <w:szCs w:val="32"/>
      <w:lang w:val="en-US" w:eastAsia="zh-CN" w:bidi="ar-SA"/>
    </w:rPr>
  </w:style>
  <w:style w:type="character" w:customStyle="1" w:styleId="277">
    <w:name w:val="main"/>
    <w:autoRedefine/>
    <w:qFormat/>
    <w:uiPriority w:val="0"/>
  </w:style>
  <w:style w:type="character" w:customStyle="1" w:styleId="278">
    <w:name w:val="txt1"/>
    <w:autoRedefine/>
    <w:qFormat/>
    <w:uiPriority w:val="0"/>
    <w:rPr>
      <w:rFonts w:hint="default"/>
      <w:sz w:val="18"/>
      <w:szCs w:val="18"/>
    </w:rPr>
  </w:style>
  <w:style w:type="character" w:customStyle="1" w:styleId="279">
    <w:name w:val="apple-style-span"/>
    <w:autoRedefine/>
    <w:qFormat/>
    <w:uiPriority w:val="0"/>
  </w:style>
  <w:style w:type="character" w:customStyle="1" w:styleId="280">
    <w:name w:val="列出段落 Char1"/>
    <w:link w:val="60"/>
    <w:autoRedefine/>
    <w:qFormat/>
    <w:locked/>
    <w:uiPriority w:val="34"/>
    <w:rPr>
      <w:kern w:val="2"/>
      <w:sz w:val="21"/>
      <w:szCs w:val="24"/>
    </w:rPr>
  </w:style>
  <w:style w:type="character" w:customStyle="1" w:styleId="281">
    <w:name w:val="p141"/>
    <w:autoRedefine/>
    <w:qFormat/>
    <w:uiPriority w:val="0"/>
    <w:rPr>
      <w:sz w:val="21"/>
      <w:szCs w:val="21"/>
    </w:rPr>
  </w:style>
  <w:style w:type="character" w:customStyle="1" w:styleId="282">
    <w:name w:val="纯文本 Char1"/>
    <w:autoRedefine/>
    <w:semiHidden/>
    <w:qFormat/>
    <w:locked/>
    <w:uiPriority w:val="0"/>
    <w:rPr>
      <w:rFonts w:ascii="宋体" w:hAnsi="Courier New"/>
      <w:kern w:val="2"/>
      <w:sz w:val="21"/>
    </w:rPr>
  </w:style>
  <w:style w:type="character" w:customStyle="1" w:styleId="283">
    <w:name w:val="font21"/>
    <w:autoRedefine/>
    <w:qFormat/>
    <w:uiPriority w:val="0"/>
    <w:rPr>
      <w:rFonts w:hint="eastAsia" w:ascii="宋体" w:hAnsi="宋体" w:eastAsia="宋体" w:cs="宋体"/>
      <w:b/>
      <w:color w:val="000000"/>
      <w:sz w:val="21"/>
      <w:szCs w:val="21"/>
      <w:u w:val="none"/>
      <w:lang w:eastAsia="en-US"/>
    </w:rPr>
  </w:style>
  <w:style w:type="character" w:customStyle="1" w:styleId="284">
    <w:name w:val="页脚2 Char Char"/>
    <w:autoRedefine/>
    <w:qFormat/>
    <w:uiPriority w:val="0"/>
    <w:rPr>
      <w:rFonts w:ascii="宋体" w:hAnsi="宋体" w:eastAsia="宋体"/>
      <w:sz w:val="18"/>
      <w:lang w:val="en-US" w:eastAsia="zh-CN" w:bidi="ar-SA"/>
    </w:rPr>
  </w:style>
  <w:style w:type="character" w:customStyle="1" w:styleId="285">
    <w:name w:val="font41"/>
    <w:autoRedefine/>
    <w:qFormat/>
    <w:uiPriority w:val="0"/>
    <w:rPr>
      <w:rFonts w:hint="eastAsia" w:ascii="宋体" w:hAnsi="宋体" w:eastAsia="宋体" w:cs="宋体"/>
      <w:color w:val="000000"/>
      <w:sz w:val="21"/>
      <w:szCs w:val="21"/>
      <w:u w:val="none"/>
      <w:lang w:eastAsia="en-US"/>
    </w:rPr>
  </w:style>
  <w:style w:type="character" w:customStyle="1" w:styleId="286">
    <w:name w:val="font51"/>
    <w:autoRedefine/>
    <w:qFormat/>
    <w:uiPriority w:val="0"/>
    <w:rPr>
      <w:rFonts w:hint="eastAsia" w:ascii="宋体" w:hAnsi="宋体" w:eastAsia="宋体" w:cs="宋体"/>
      <w:color w:val="FF0000"/>
      <w:sz w:val="21"/>
      <w:szCs w:val="21"/>
      <w:u w:val="none"/>
      <w:lang w:eastAsia="en-US"/>
    </w:rPr>
  </w:style>
  <w:style w:type="character" w:customStyle="1" w:styleId="287">
    <w:name w:val="font111"/>
    <w:autoRedefine/>
    <w:qFormat/>
    <w:uiPriority w:val="0"/>
    <w:rPr>
      <w:rFonts w:hint="eastAsia" w:ascii="宋体" w:hAnsi="宋体" w:eastAsia="宋体" w:cs="宋体"/>
      <w:color w:val="000000"/>
      <w:sz w:val="24"/>
      <w:szCs w:val="24"/>
      <w:u w:val="none"/>
      <w:vertAlign w:val="superscript"/>
    </w:rPr>
  </w:style>
  <w:style w:type="character" w:customStyle="1" w:styleId="288">
    <w:name w:val="font01"/>
    <w:autoRedefine/>
    <w:qFormat/>
    <w:uiPriority w:val="0"/>
    <w:rPr>
      <w:rFonts w:hint="eastAsia" w:ascii="宋体" w:hAnsi="宋体" w:eastAsia="宋体" w:cs="宋体"/>
      <w:color w:val="000000"/>
      <w:sz w:val="24"/>
      <w:szCs w:val="24"/>
      <w:u w:val="none"/>
    </w:rPr>
  </w:style>
  <w:style w:type="character" w:customStyle="1" w:styleId="289">
    <w:name w:val="页眉 字符"/>
    <w:autoRedefine/>
    <w:qFormat/>
    <w:uiPriority w:val="0"/>
    <w:rPr>
      <w:rFonts w:ascii="Times New Roman" w:hAnsi="Times New Roman"/>
      <w:kern w:val="2"/>
      <w:sz w:val="18"/>
      <w:szCs w:val="18"/>
    </w:rPr>
  </w:style>
  <w:style w:type="character" w:customStyle="1" w:styleId="290">
    <w:name w:val="样式标题3 Char"/>
    <w:link w:val="61"/>
    <w:autoRedefine/>
    <w:qFormat/>
    <w:uiPriority w:val="0"/>
    <w:rPr>
      <w:b/>
      <w:bCs/>
      <w:kern w:val="2"/>
      <w:sz w:val="21"/>
      <w:szCs w:val="21"/>
    </w:rPr>
  </w:style>
  <w:style w:type="character" w:customStyle="1" w:styleId="291">
    <w:name w:val="style1"/>
    <w:autoRedefine/>
    <w:qFormat/>
    <w:uiPriority w:val="0"/>
  </w:style>
  <w:style w:type="character" w:customStyle="1" w:styleId="292">
    <w:name w:val="标题样式1 Char"/>
    <w:link w:val="62"/>
    <w:autoRedefine/>
    <w:qFormat/>
    <w:uiPriority w:val="0"/>
    <w:rPr>
      <w:rFonts w:ascii="宋体" w:hAnsi="Arial"/>
      <w:b/>
      <w:kern w:val="2"/>
      <w:sz w:val="28"/>
    </w:rPr>
  </w:style>
  <w:style w:type="character" w:customStyle="1" w:styleId="293">
    <w:name w:val="unnamed11"/>
    <w:autoRedefine/>
    <w:qFormat/>
    <w:uiPriority w:val="0"/>
    <w:rPr>
      <w:color w:val="000000"/>
      <w:sz w:val="18"/>
      <w:szCs w:val="18"/>
      <w:u w:val="none"/>
    </w:rPr>
  </w:style>
  <w:style w:type="character" w:customStyle="1" w:styleId="294">
    <w:name w:val="para"/>
    <w:autoRedefine/>
    <w:qFormat/>
    <w:uiPriority w:val="0"/>
  </w:style>
  <w:style w:type="character" w:customStyle="1" w:styleId="295">
    <w:name w:val="列出段落 Char"/>
    <w:link w:val="63"/>
    <w:autoRedefine/>
    <w:qFormat/>
    <w:uiPriority w:val="0"/>
    <w:rPr>
      <w:rFonts w:ascii="Calibri" w:hAnsi="Calibri" w:eastAsia="宋体"/>
      <w:kern w:val="2"/>
      <w:sz w:val="21"/>
      <w:szCs w:val="22"/>
      <w:lang w:bidi="ar-SA"/>
    </w:rPr>
  </w:style>
  <w:style w:type="character" w:customStyle="1" w:styleId="296">
    <w:name w:val="Indent 1 Char2"/>
    <w:autoRedefine/>
    <w:qFormat/>
    <w:uiPriority w:val="0"/>
    <w:rPr>
      <w:rFonts w:eastAsia="宋体"/>
      <w:kern w:val="2"/>
      <w:sz w:val="24"/>
      <w:lang w:val="en-US" w:eastAsia="zh-CN" w:bidi="ar-SA"/>
    </w:rPr>
  </w:style>
  <w:style w:type="character" w:customStyle="1" w:styleId="297">
    <w:name w:val="普通文字 Char1"/>
    <w:autoRedefine/>
    <w:qFormat/>
    <w:uiPriority w:val="0"/>
    <w:rPr>
      <w:rFonts w:ascii="宋体" w:hAnsi="Courier New" w:eastAsia="宋体"/>
      <w:kern w:val="2"/>
      <w:sz w:val="24"/>
      <w:lang w:val="en-US" w:eastAsia="zh-CN" w:bidi="ar-SA"/>
    </w:rPr>
  </w:style>
  <w:style w:type="character" w:customStyle="1" w:styleId="298">
    <w:name w:val="weby11"/>
    <w:autoRedefine/>
    <w:qFormat/>
    <w:uiPriority w:val="0"/>
    <w:rPr>
      <w:sz w:val="18"/>
      <w:szCs w:val="18"/>
    </w:rPr>
  </w:style>
  <w:style w:type="character" w:customStyle="1" w:styleId="299">
    <w:name w:val="Footer1 Char Char1"/>
    <w:autoRedefine/>
    <w:qFormat/>
    <w:uiPriority w:val="0"/>
    <w:rPr>
      <w:rFonts w:eastAsia="宋体"/>
      <w:sz w:val="18"/>
      <w:szCs w:val="18"/>
      <w:lang w:val="en-US" w:eastAsia="zh-CN" w:bidi="ar-SA"/>
    </w:rPr>
  </w:style>
  <w:style w:type="character" w:customStyle="1" w:styleId="300">
    <w:name w:val="标题1"/>
    <w:autoRedefine/>
    <w:qFormat/>
    <w:uiPriority w:val="0"/>
  </w:style>
  <w:style w:type="character" w:customStyle="1" w:styleId="301">
    <w:name w:val="msoins0"/>
    <w:autoRedefine/>
    <w:qFormat/>
    <w:uiPriority w:val="0"/>
  </w:style>
  <w:style w:type="character" w:customStyle="1" w:styleId="302">
    <w:name w:val="样式标题2 Char"/>
    <w:link w:val="64"/>
    <w:autoRedefine/>
    <w:qFormat/>
    <w:uiPriority w:val="0"/>
    <w:rPr>
      <w:b/>
      <w:bCs/>
      <w:kern w:val="2"/>
      <w:sz w:val="24"/>
      <w:szCs w:val="24"/>
    </w:rPr>
  </w:style>
  <w:style w:type="character" w:customStyle="1" w:styleId="303">
    <w:name w:val="页脚2 Char"/>
    <w:link w:val="65"/>
    <w:autoRedefine/>
    <w:qFormat/>
    <w:uiPriority w:val="0"/>
    <w:rPr>
      <w:rFonts w:ascii="宋体" w:hAnsi="宋体" w:eastAsia="宋体"/>
      <w:sz w:val="18"/>
      <w:szCs w:val="18"/>
      <w:lang w:val="en-US" w:eastAsia="zh-CN" w:bidi="ar-SA"/>
    </w:rPr>
  </w:style>
  <w:style w:type="character" w:customStyle="1" w:styleId="304">
    <w:name w:val="页脚 字符"/>
    <w:autoRedefine/>
    <w:qFormat/>
    <w:uiPriority w:val="99"/>
    <w:rPr>
      <w:kern w:val="2"/>
      <w:sz w:val="18"/>
      <w:szCs w:val="18"/>
    </w:rPr>
  </w:style>
  <w:style w:type="character" w:customStyle="1" w:styleId="305">
    <w:name w:val="font31"/>
    <w:autoRedefine/>
    <w:qFormat/>
    <w:uiPriority w:val="0"/>
    <w:rPr>
      <w:rFonts w:hint="eastAsia" w:ascii="宋体" w:hAnsi="宋体" w:eastAsia="宋体" w:cs="宋体"/>
      <w:color w:val="000000"/>
      <w:sz w:val="21"/>
      <w:szCs w:val="21"/>
      <w:u w:val="none"/>
      <w:lang w:eastAsia="en-US"/>
    </w:rPr>
  </w:style>
  <w:style w:type="character" w:customStyle="1" w:styleId="306">
    <w:name w:val="批注文字 字符"/>
    <w:autoRedefine/>
    <w:qFormat/>
    <w:uiPriority w:val="0"/>
    <w:rPr>
      <w:rFonts w:eastAsia="宋体"/>
      <w:kern w:val="2"/>
      <w:sz w:val="21"/>
      <w:szCs w:val="24"/>
      <w:lang w:val="en-US" w:eastAsia="zh-CN" w:bidi="ar-SA"/>
    </w:rPr>
  </w:style>
  <w:style w:type="character" w:customStyle="1" w:styleId="307">
    <w:name w:val="font11"/>
    <w:autoRedefine/>
    <w:qFormat/>
    <w:uiPriority w:val="0"/>
    <w:rPr>
      <w:rFonts w:hint="eastAsia" w:ascii="宋体" w:hAnsi="宋体" w:eastAsia="宋体" w:cs="宋体"/>
      <w:b/>
      <w:color w:val="FF0000"/>
      <w:sz w:val="21"/>
      <w:szCs w:val="21"/>
      <w:u w:val="none"/>
      <w:lang w:eastAsia="en-US"/>
    </w:rPr>
  </w:style>
  <w:style w:type="character" w:customStyle="1" w:styleId="308">
    <w:name w:val="正文文本缩进 字符"/>
    <w:autoRedefine/>
    <w:qFormat/>
    <w:uiPriority w:val="0"/>
    <w:rPr>
      <w:rFonts w:ascii="楷体_GB2312" w:hAnsi="宋体" w:eastAsia="楷体_GB2312"/>
      <w:kern w:val="2"/>
      <w:sz w:val="28"/>
      <w:lang w:val="en-US" w:eastAsia="zh-CN" w:bidi="ar-SA"/>
    </w:rPr>
  </w:style>
  <w:style w:type="character" w:customStyle="1" w:styleId="309">
    <w:name w:val="普通文字 Char2"/>
    <w:autoRedefine/>
    <w:qFormat/>
    <w:locked/>
    <w:uiPriority w:val="0"/>
    <w:rPr>
      <w:rFonts w:ascii="宋体" w:hAnsi="Courier New" w:eastAsia="宋体"/>
      <w:kern w:val="2"/>
      <w:sz w:val="21"/>
      <w:lang w:val="en-US" w:eastAsia="zh-CN" w:bidi="ar-SA"/>
    </w:rPr>
  </w:style>
  <w:style w:type="character" w:customStyle="1" w:styleId="310">
    <w:name w:val="普通文字 Char3"/>
    <w:autoRedefine/>
    <w:qFormat/>
    <w:uiPriority w:val="0"/>
    <w:rPr>
      <w:rFonts w:ascii="宋体" w:hAnsi="Courier New" w:eastAsia="宋体"/>
      <w:kern w:val="2"/>
      <w:sz w:val="21"/>
      <w:lang w:val="en-US" w:eastAsia="zh-CN" w:bidi="ar-SA"/>
    </w:rPr>
  </w:style>
  <w:style w:type="character" w:customStyle="1" w:styleId="311">
    <w:name w:val="hg"/>
    <w:autoRedefine/>
    <w:qFormat/>
    <w:uiPriority w:val="0"/>
  </w:style>
  <w:style w:type="character" w:customStyle="1" w:styleId="312">
    <w:name w:val="Footer1 Char Char"/>
    <w:autoRedefine/>
    <w:qFormat/>
    <w:uiPriority w:val="0"/>
    <w:rPr>
      <w:rFonts w:ascii="宋体"/>
      <w:sz w:val="18"/>
    </w:rPr>
  </w:style>
  <w:style w:type="character" w:customStyle="1" w:styleId="313">
    <w:name w:val="style6"/>
    <w:autoRedefine/>
    <w:qFormat/>
    <w:uiPriority w:val="0"/>
  </w:style>
  <w:style w:type="character" w:customStyle="1" w:styleId="314">
    <w:name w:val="个人答复风格"/>
    <w:autoRedefine/>
    <w:qFormat/>
    <w:uiPriority w:val="0"/>
    <w:rPr>
      <w:rFonts w:ascii="Arial" w:hAnsi="Arial" w:eastAsia="宋体" w:cs="Arial"/>
      <w:color w:val="auto"/>
      <w:sz w:val="20"/>
    </w:rPr>
  </w:style>
  <w:style w:type="character" w:customStyle="1" w:styleId="315">
    <w:name w:val="p141_0"/>
    <w:autoRedefine/>
    <w:qFormat/>
    <w:uiPriority w:val="0"/>
    <w:rPr>
      <w:rFonts w:ascii="Calibri" w:hAnsi="Calibri"/>
      <w:sz w:val="21"/>
      <w:szCs w:val="21"/>
    </w:rPr>
  </w:style>
  <w:style w:type="character" w:customStyle="1" w:styleId="316">
    <w:name w:val="apple-converted-space"/>
    <w:autoRedefine/>
    <w:qFormat/>
    <w:uiPriority w:val="0"/>
  </w:style>
  <w:style w:type="character" w:customStyle="1" w:styleId="317">
    <w:name w:val="H3 Char"/>
    <w:autoRedefine/>
    <w:qFormat/>
    <w:locked/>
    <w:uiPriority w:val="0"/>
    <w:rPr>
      <w:rFonts w:ascii="宋体" w:hAnsi="宋体" w:eastAsia="宋体"/>
      <w:b/>
      <w:kern w:val="2"/>
      <w:sz w:val="24"/>
      <w:lang w:bidi="ar-SA"/>
    </w:rPr>
  </w:style>
  <w:style w:type="character" w:customStyle="1" w:styleId="318">
    <w:name w:val="font61"/>
    <w:autoRedefine/>
    <w:qFormat/>
    <w:uiPriority w:val="0"/>
    <w:rPr>
      <w:rFonts w:hint="eastAsia" w:ascii="宋体" w:hAnsi="宋体" w:eastAsia="宋体" w:cs="宋体"/>
      <w:color w:val="000000"/>
      <w:sz w:val="24"/>
      <w:szCs w:val="24"/>
      <w:u w:val="none"/>
      <w:vertAlign w:val="superscript"/>
    </w:rPr>
  </w:style>
  <w:style w:type="character" w:customStyle="1" w:styleId="319">
    <w:name w:val="NormalCharacter"/>
    <w:autoRedefine/>
    <w:semiHidden/>
    <w:qFormat/>
    <w:uiPriority w:val="0"/>
  </w:style>
  <w:style w:type="paragraph" w:customStyle="1" w:styleId="320">
    <w:name w:val="Char Char131"/>
    <w:basedOn w:val="1"/>
    <w:autoRedefine/>
    <w:qFormat/>
    <w:uiPriority w:val="0"/>
    <w:rPr>
      <w:rFonts w:ascii="Tahoma" w:hAnsi="Tahoma"/>
      <w:sz w:val="24"/>
    </w:rPr>
  </w:style>
  <w:style w:type="paragraph" w:customStyle="1" w:styleId="321">
    <w:name w:val="列出段落4"/>
    <w:basedOn w:val="1"/>
    <w:autoRedefine/>
    <w:qFormat/>
    <w:uiPriority w:val="34"/>
    <w:pPr>
      <w:ind w:firstLine="420" w:firstLineChars="200"/>
    </w:pPr>
    <w:rPr>
      <w:szCs w:val="22"/>
    </w:rPr>
  </w:style>
  <w:style w:type="paragraph" w:customStyle="1" w:styleId="322">
    <w:name w:val="修订3"/>
    <w:autoRedefine/>
    <w:semiHidden/>
    <w:qFormat/>
    <w:uiPriority w:val="99"/>
    <w:rPr>
      <w:rFonts w:ascii="Times New Roman" w:hAnsi="Times New Roman" w:eastAsia="宋体" w:cs="Times New Roman"/>
      <w:kern w:val="2"/>
      <w:sz w:val="21"/>
      <w:lang w:val="en-US" w:eastAsia="zh-CN" w:bidi="ar-SA"/>
    </w:rPr>
  </w:style>
  <w:style w:type="paragraph" w:customStyle="1" w:styleId="323">
    <w:name w:val="纯文本2"/>
    <w:basedOn w:val="1"/>
    <w:autoRedefine/>
    <w:qFormat/>
    <w:uiPriority w:val="0"/>
    <w:rPr>
      <w:rFonts w:ascii="宋体" w:hAnsi="Courier New"/>
      <w:szCs w:val="21"/>
    </w:rPr>
  </w:style>
  <w:style w:type="paragraph" w:customStyle="1" w:styleId="324">
    <w:name w:val="修订4"/>
    <w:autoRedefine/>
    <w:unhideWhenUsed/>
    <w:qFormat/>
    <w:uiPriority w:val="99"/>
    <w:rPr>
      <w:rFonts w:ascii="Times New Roman" w:hAnsi="Times New Roman" w:eastAsia="宋体" w:cs="Times New Roman"/>
      <w:kern w:val="2"/>
      <w:sz w:val="21"/>
      <w:lang w:val="en-US" w:eastAsia="zh-CN" w:bidi="ar-SA"/>
    </w:rPr>
  </w:style>
  <w:style w:type="paragraph" w:customStyle="1" w:styleId="325">
    <w:name w:val="修订5"/>
    <w:autoRedefine/>
    <w:hidden/>
    <w:unhideWhenUsed/>
    <w:qFormat/>
    <w:uiPriority w:val="99"/>
    <w:rPr>
      <w:rFonts w:ascii="Times New Roman" w:hAnsi="Times New Roman" w:eastAsia="宋体" w:cs="Times New Roman"/>
      <w:kern w:val="2"/>
      <w:sz w:val="21"/>
      <w:lang w:val="en-US" w:eastAsia="zh-CN" w:bidi="ar-SA"/>
    </w:rPr>
  </w:style>
  <w:style w:type="character" w:customStyle="1" w:styleId="326">
    <w:name w:val="标题 2 Char1"/>
    <w:link w:val="3"/>
    <w:autoRedefine/>
    <w:qFormat/>
    <w:uiPriority w:val="0"/>
    <w:rPr>
      <w:rFonts w:ascii="宋体" w:hAnsi="宋体"/>
      <w:b/>
      <w:kern w:val="2"/>
      <w:sz w:val="28"/>
    </w:rPr>
  </w:style>
  <w:style w:type="paragraph" w:customStyle="1" w:styleId="327">
    <w:name w:val="正文_17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8">
    <w:name w:val="纯文本 Char2"/>
    <w:autoRedefine/>
    <w:qFormat/>
    <w:uiPriority w:val="0"/>
    <w:rPr>
      <w:rFonts w:ascii="宋体" w:hAnsi="Times New Roman" w:eastAsia="宋体" w:cs="Times New Roman"/>
      <w:sz w:val="21"/>
      <w:lang w:val="en-US" w:eastAsia="zh-CN" w:bidi="ar-SA"/>
    </w:rPr>
  </w:style>
  <w:style w:type="paragraph" w:customStyle="1" w:styleId="329">
    <w:name w:val="修订6"/>
    <w:autoRedefine/>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37</Pages>
  <Words>8239</Words>
  <Characters>8642</Characters>
  <Lines>37</Lines>
  <Paragraphs>47</Paragraphs>
  <TotalTime>13</TotalTime>
  <ScaleCrop>false</ScaleCrop>
  <LinksUpToDate>false</LinksUpToDate>
  <CharactersWithSpaces>8757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2022-01-13T01:07:00Z</dcterms:created>
  <dc:creator>lipeng</dc:creator>
  <cp:lastModifiedBy>Miss Chen</cp:lastModifiedBy>
  <cp:lastPrinted>2021-09-24T12:56:00Z</cp:lastPrinted>
  <dcterms:modified xsi:type="dcterms:W3CDTF">2025-01-24T03:13:18Z</dcterms:modified>
  <dc:title>广州市政府采购</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620D77A08871483BAB8562A68FBCC0AB_13</vt:lpwstr>
  </property>
  <property fmtid="{D5CDD505-2E9C-101B-9397-08002B2CF9AE}" pid="4" name="KSOTemplateDocerSaveRecord">
    <vt:lpwstr>eyJoZGlkIjoiZDZiZWRjYzkzYThhMTY2YzkyMGIzZmQ2NDU1ZTM2OTUiLCJ1c2VySWQiOiI0ODQ1MzA5MzcifQ==</vt:lpwstr>
  </property>
</Properties>
</file>