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1560D">
      <w:pPr>
        <w:tabs>
          <w:tab w:val="left" w:pos="420"/>
          <w:tab w:val="left" w:pos="6660"/>
        </w:tabs>
        <w:adjustRightInd w:val="0"/>
        <w:snapToGrid w:val="0"/>
        <w:spacing w:line="360" w:lineRule="auto"/>
        <w:ind w:left="675" w:leftChars="95" w:hanging="476" w:hangingChars="33"/>
        <w:jc w:val="center"/>
        <w:rPr>
          <w:rFonts w:ascii="宋体" w:hAnsi="宋体"/>
          <w:b/>
          <w:spacing w:val="300"/>
          <w:sz w:val="84"/>
          <w:szCs w:val="84"/>
        </w:rPr>
      </w:pPr>
    </w:p>
    <w:p w14:paraId="48B71A7E">
      <w:pPr>
        <w:tabs>
          <w:tab w:val="left" w:pos="420"/>
          <w:tab w:val="left" w:pos="6660"/>
        </w:tabs>
        <w:adjustRightInd w:val="0"/>
        <w:snapToGrid w:val="0"/>
        <w:spacing w:line="360" w:lineRule="auto"/>
        <w:ind w:left="675" w:leftChars="95" w:hanging="476" w:hangingChars="33"/>
        <w:jc w:val="center"/>
        <w:rPr>
          <w:rFonts w:ascii="宋体" w:hAnsi="宋体"/>
          <w:b/>
          <w:spacing w:val="300"/>
          <w:sz w:val="84"/>
          <w:szCs w:val="84"/>
        </w:rPr>
      </w:pPr>
      <w:r>
        <w:rPr>
          <w:rFonts w:ascii="宋体" w:hAnsi="宋体"/>
          <w:b/>
          <w:spacing w:val="300"/>
          <w:sz w:val="84"/>
          <w:szCs w:val="84"/>
        </w:rPr>
        <w:t>招标文件</w:t>
      </w:r>
    </w:p>
    <w:p w14:paraId="4179F01E">
      <w:pPr>
        <w:spacing w:line="360" w:lineRule="auto"/>
        <w:rPr>
          <w:rFonts w:ascii="宋体" w:hAnsi="宋体"/>
          <w:bCs/>
          <w:sz w:val="32"/>
          <w:szCs w:val="32"/>
        </w:rPr>
      </w:pPr>
    </w:p>
    <w:p w14:paraId="0A4C22FD">
      <w:pPr>
        <w:spacing w:line="360" w:lineRule="auto"/>
        <w:rPr>
          <w:rFonts w:ascii="宋体" w:hAnsi="宋体"/>
          <w:bCs/>
          <w:sz w:val="32"/>
          <w:szCs w:val="32"/>
        </w:rPr>
      </w:pPr>
    </w:p>
    <w:p w14:paraId="710D8B4A">
      <w:pPr>
        <w:pStyle w:val="4"/>
        <w:rPr>
          <w:rFonts w:ascii="宋体" w:hAnsi="宋体"/>
          <w:bCs/>
          <w:sz w:val="32"/>
          <w:szCs w:val="32"/>
        </w:rPr>
      </w:pPr>
    </w:p>
    <w:p w14:paraId="122003F4">
      <w:pPr>
        <w:pStyle w:val="4"/>
        <w:rPr>
          <w:rFonts w:ascii="宋体" w:hAnsi="宋体"/>
          <w:bCs/>
          <w:sz w:val="32"/>
          <w:szCs w:val="32"/>
        </w:rPr>
      </w:pPr>
    </w:p>
    <w:p w14:paraId="5977A836">
      <w:pPr>
        <w:spacing w:line="360" w:lineRule="auto"/>
        <w:ind w:firstLine="1102" w:firstLineChars="343"/>
        <w:rPr>
          <w:rFonts w:ascii="宋体" w:hAnsi="宋体"/>
          <w:b/>
          <w:sz w:val="32"/>
          <w:szCs w:val="32"/>
        </w:rPr>
      </w:pPr>
      <w:r>
        <w:rPr>
          <w:rFonts w:ascii="宋体" w:hAnsi="宋体"/>
          <w:b/>
          <w:sz w:val="32"/>
          <w:szCs w:val="32"/>
        </w:rPr>
        <w:t>采购方式：校内</w:t>
      </w:r>
      <w:r>
        <w:rPr>
          <w:rFonts w:hint="eastAsia" w:ascii="宋体" w:hAnsi="宋体"/>
          <w:b/>
          <w:sz w:val="32"/>
          <w:szCs w:val="32"/>
        </w:rPr>
        <w:t>招标</w:t>
      </w:r>
    </w:p>
    <w:p w14:paraId="2CD8D685">
      <w:pPr>
        <w:spacing w:line="360" w:lineRule="auto"/>
        <w:ind w:firstLine="1102" w:firstLineChars="343"/>
        <w:rPr>
          <w:rFonts w:ascii="宋体" w:hAnsi="宋体"/>
          <w:b/>
          <w:sz w:val="32"/>
          <w:szCs w:val="32"/>
        </w:rPr>
      </w:pPr>
      <w:r>
        <w:rPr>
          <w:rFonts w:ascii="宋体" w:hAnsi="宋体"/>
          <w:b/>
          <w:sz w:val="32"/>
          <w:szCs w:val="32"/>
        </w:rPr>
        <w:t>项目编号：</w:t>
      </w:r>
      <w:r>
        <w:rPr>
          <w:rFonts w:hint="eastAsia" w:ascii="宋体" w:hAnsi="宋体"/>
          <w:b/>
          <w:sz w:val="32"/>
          <w:szCs w:val="32"/>
        </w:rPr>
        <w:t>XDFW2025004</w:t>
      </w:r>
    </w:p>
    <w:p w14:paraId="6E22DCB4">
      <w:pPr>
        <w:spacing w:line="360" w:lineRule="auto"/>
        <w:ind w:left="2854" w:leftChars="525" w:hanging="1751" w:hangingChars="545"/>
        <w:rPr>
          <w:rFonts w:ascii="宋体" w:hAnsi="宋体"/>
          <w:b/>
          <w:sz w:val="32"/>
          <w:szCs w:val="32"/>
        </w:rPr>
      </w:pPr>
      <w:r>
        <w:rPr>
          <w:rFonts w:ascii="宋体" w:hAnsi="宋体"/>
          <w:b/>
          <w:sz w:val="32"/>
          <w:szCs w:val="32"/>
        </w:rPr>
        <w:t>项目名称：2025年6月-9月梅州校区物业管理服务（保洁、绿化及水电维护）</w:t>
      </w:r>
      <w:r>
        <w:rPr>
          <w:rFonts w:hint="eastAsia" w:ascii="宋体" w:hAnsi="宋体"/>
          <w:b/>
          <w:sz w:val="32"/>
          <w:szCs w:val="32"/>
        </w:rPr>
        <w:t>服务商资格遴选采购</w:t>
      </w:r>
      <w:r>
        <w:rPr>
          <w:rFonts w:ascii="宋体" w:hAnsi="宋体"/>
          <w:b/>
          <w:sz w:val="32"/>
          <w:szCs w:val="32"/>
        </w:rPr>
        <w:t>项目</w:t>
      </w:r>
    </w:p>
    <w:p w14:paraId="196A631F">
      <w:pPr>
        <w:spacing w:line="360" w:lineRule="auto"/>
        <w:ind w:left="2854" w:leftChars="525" w:hanging="1751" w:hangingChars="545"/>
        <w:rPr>
          <w:rFonts w:ascii="宋体" w:hAnsi="宋体"/>
          <w:b/>
          <w:sz w:val="32"/>
          <w:szCs w:val="32"/>
        </w:rPr>
      </w:pPr>
    </w:p>
    <w:p w14:paraId="5B2FCA50">
      <w:pPr>
        <w:spacing w:line="360" w:lineRule="auto"/>
        <w:ind w:firstLine="1108" w:firstLineChars="345"/>
        <w:rPr>
          <w:rFonts w:ascii="宋体" w:hAnsi="宋体"/>
          <w:b/>
          <w:sz w:val="32"/>
          <w:szCs w:val="32"/>
        </w:rPr>
      </w:pPr>
    </w:p>
    <w:p w14:paraId="7F3BA7A1">
      <w:pPr>
        <w:spacing w:line="360" w:lineRule="auto"/>
        <w:ind w:firstLine="1108" w:firstLineChars="345"/>
        <w:rPr>
          <w:rFonts w:ascii="宋体" w:hAnsi="宋体"/>
          <w:b/>
          <w:sz w:val="32"/>
          <w:szCs w:val="32"/>
        </w:rPr>
      </w:pPr>
    </w:p>
    <w:p w14:paraId="67E62CCE">
      <w:pPr>
        <w:spacing w:line="360" w:lineRule="auto"/>
        <w:ind w:firstLine="1108" w:firstLineChars="345"/>
        <w:rPr>
          <w:rFonts w:ascii="宋体" w:hAnsi="宋体"/>
          <w:b/>
          <w:sz w:val="32"/>
          <w:szCs w:val="32"/>
        </w:rPr>
      </w:pPr>
    </w:p>
    <w:p w14:paraId="3339E6CC">
      <w:pPr>
        <w:pStyle w:val="4"/>
      </w:pPr>
    </w:p>
    <w:p w14:paraId="7478BE41">
      <w:pPr>
        <w:pStyle w:val="4"/>
      </w:pPr>
    </w:p>
    <w:p w14:paraId="55F43BF9">
      <w:pPr>
        <w:pStyle w:val="4"/>
      </w:pPr>
    </w:p>
    <w:p w14:paraId="5FD405E4">
      <w:pPr>
        <w:spacing w:line="360" w:lineRule="auto"/>
        <w:ind w:firstLine="948" w:firstLineChars="295"/>
        <w:jc w:val="center"/>
        <w:rPr>
          <w:rFonts w:ascii="宋体" w:hAnsi="宋体"/>
          <w:b/>
          <w:bCs/>
          <w:sz w:val="32"/>
          <w:szCs w:val="32"/>
        </w:rPr>
      </w:pPr>
    </w:p>
    <w:p w14:paraId="626B89C5">
      <w:pPr>
        <w:spacing w:line="360" w:lineRule="auto"/>
        <w:jc w:val="center"/>
        <w:rPr>
          <w:rFonts w:ascii="宋体" w:hAnsi="宋体"/>
          <w:b/>
          <w:sz w:val="32"/>
          <w:szCs w:val="32"/>
        </w:rPr>
      </w:pPr>
      <w:r>
        <w:rPr>
          <w:rFonts w:ascii="宋体" w:hAnsi="宋体"/>
          <w:b/>
          <w:sz w:val="32"/>
          <w:szCs w:val="32"/>
        </w:rPr>
        <w:t>广东省粤东技师学院</w:t>
      </w:r>
      <w:r>
        <w:rPr>
          <w:rFonts w:hint="eastAsia" w:ascii="宋体" w:hAnsi="宋体"/>
          <w:b/>
          <w:sz w:val="32"/>
          <w:szCs w:val="32"/>
        </w:rPr>
        <w:t>物资招标采购中心</w:t>
      </w:r>
      <w:r>
        <w:rPr>
          <w:rFonts w:ascii="宋体" w:hAnsi="宋体"/>
          <w:b/>
          <w:sz w:val="32"/>
          <w:szCs w:val="32"/>
        </w:rPr>
        <w:t>编制</w:t>
      </w:r>
    </w:p>
    <w:p w14:paraId="4AEB73FD">
      <w:pPr>
        <w:spacing w:line="360" w:lineRule="auto"/>
        <w:jc w:val="center"/>
        <w:rPr>
          <w:rFonts w:ascii="宋体" w:hAnsi="宋体"/>
          <w:b/>
          <w:sz w:val="32"/>
          <w:szCs w:val="32"/>
        </w:rPr>
      </w:pPr>
      <w:r>
        <w:rPr>
          <w:rFonts w:ascii="宋体" w:hAnsi="宋体"/>
          <w:b/>
          <w:sz w:val="32"/>
          <w:szCs w:val="32"/>
        </w:rPr>
        <w:t>发布日期：</w:t>
      </w:r>
      <w:r>
        <w:rPr>
          <w:rFonts w:hint="eastAsia" w:ascii="宋体" w:hAnsi="宋体"/>
          <w:b/>
          <w:sz w:val="32"/>
          <w:szCs w:val="32"/>
        </w:rPr>
        <w:t>2025年5</w:t>
      </w:r>
      <w:r>
        <w:rPr>
          <w:rFonts w:ascii="宋体" w:hAnsi="宋体"/>
          <w:b/>
          <w:sz w:val="32"/>
          <w:szCs w:val="32"/>
        </w:rPr>
        <w:t>月</w:t>
      </w:r>
      <w:r>
        <w:rPr>
          <w:rFonts w:hint="eastAsia" w:ascii="宋体" w:hAnsi="宋体"/>
          <w:b/>
          <w:sz w:val="32"/>
          <w:szCs w:val="32"/>
          <w:lang w:val="en-US" w:eastAsia="zh-CN"/>
        </w:rPr>
        <w:t>19</w:t>
      </w:r>
      <w:r>
        <w:rPr>
          <w:rFonts w:hint="eastAsia" w:ascii="宋体" w:hAnsi="宋体"/>
          <w:b/>
          <w:sz w:val="32"/>
          <w:szCs w:val="32"/>
        </w:rPr>
        <w:t>日</w:t>
      </w:r>
    </w:p>
    <w:p w14:paraId="681E2016">
      <w:pPr>
        <w:spacing w:line="360" w:lineRule="auto"/>
        <w:jc w:val="center"/>
        <w:rPr>
          <w:rFonts w:ascii="宋体" w:hAnsi="宋体"/>
          <w:b/>
          <w:sz w:val="32"/>
          <w:szCs w:val="32"/>
        </w:rPr>
      </w:pPr>
    </w:p>
    <w:p w14:paraId="57BD5B21">
      <w:pPr>
        <w:pStyle w:val="4"/>
        <w:rPr>
          <w:rFonts w:ascii="宋体" w:hAnsi="宋体"/>
          <w:b/>
          <w:sz w:val="32"/>
          <w:szCs w:val="32"/>
        </w:rPr>
      </w:pPr>
    </w:p>
    <w:p w14:paraId="0E761860">
      <w:pPr>
        <w:spacing w:line="560" w:lineRule="exact"/>
        <w:ind w:firstLine="723" w:firstLineChars="200"/>
        <w:jc w:val="center"/>
        <w:rPr>
          <w:rFonts w:ascii="宋体" w:hAnsi="宋体"/>
          <w:b/>
          <w:kern w:val="28"/>
          <w:sz w:val="36"/>
          <w:szCs w:val="36"/>
        </w:rPr>
      </w:pPr>
      <w:r>
        <w:rPr>
          <w:rFonts w:hint="eastAsia" w:ascii="宋体" w:hAnsi="宋体"/>
          <w:b/>
          <w:kern w:val="28"/>
          <w:sz w:val="36"/>
          <w:szCs w:val="36"/>
        </w:rPr>
        <w:t>投标邀请函</w:t>
      </w:r>
    </w:p>
    <w:p w14:paraId="6F9C33E2">
      <w:pPr>
        <w:spacing w:line="440" w:lineRule="exact"/>
        <w:ind w:firstLine="480" w:firstLineChars="200"/>
        <w:rPr>
          <w:rFonts w:ascii="宋体" w:hAnsi="宋体" w:cs="Tahoma"/>
          <w:kern w:val="28"/>
          <w:sz w:val="24"/>
        </w:rPr>
      </w:pPr>
      <w:r>
        <w:rPr>
          <w:rFonts w:hint="eastAsia" w:ascii="宋体" w:hAnsi="宋体" w:cs="Tahoma"/>
          <w:kern w:val="28"/>
          <w:sz w:val="24"/>
        </w:rPr>
        <w:t>广东省粤东技师学院就</w:t>
      </w:r>
      <w:r>
        <w:rPr>
          <w:rFonts w:hint="eastAsia" w:ascii="宋体" w:hAnsi="宋体" w:cs="Tahoma"/>
          <w:kern w:val="28"/>
          <w:sz w:val="24"/>
          <w:u w:val="single"/>
        </w:rPr>
        <w:t>2025年6月-9月梅州校区物业管理服务（保洁、绿化及水电维护）服务商资格遴选采购项目</w:t>
      </w:r>
      <w:r>
        <w:rPr>
          <w:rFonts w:hint="eastAsia" w:ascii="宋体" w:hAnsi="宋体" w:cs="Tahoma"/>
          <w:kern w:val="28"/>
          <w:sz w:val="24"/>
        </w:rPr>
        <w:t>(采购编号：XDFW2025004)校内招标接受合格的投标人提交密封投标。有关事项如下：</w:t>
      </w:r>
    </w:p>
    <w:p w14:paraId="045565B6">
      <w:pPr>
        <w:spacing w:line="440" w:lineRule="exact"/>
        <w:ind w:firstLine="482" w:firstLineChars="200"/>
        <w:rPr>
          <w:rFonts w:ascii="宋体" w:hAnsi="宋体"/>
          <w:b/>
          <w:sz w:val="24"/>
        </w:rPr>
      </w:pPr>
      <w:r>
        <w:rPr>
          <w:rFonts w:hint="eastAsia" w:ascii="宋体" w:hAnsi="宋体"/>
          <w:b/>
          <w:sz w:val="24"/>
        </w:rPr>
        <w:t>一、招标项目的名称、概况和预算</w:t>
      </w:r>
    </w:p>
    <w:p w14:paraId="001BBABE">
      <w:pPr>
        <w:spacing w:line="440" w:lineRule="exact"/>
        <w:ind w:firstLine="480" w:firstLineChars="200"/>
        <w:rPr>
          <w:rFonts w:ascii="宋体" w:hAnsi="宋体" w:cs="Tahoma"/>
          <w:kern w:val="28"/>
          <w:sz w:val="24"/>
          <w:u w:val="single"/>
        </w:rPr>
      </w:pPr>
      <w:r>
        <w:rPr>
          <w:rFonts w:hint="eastAsia" w:ascii="宋体" w:hAnsi="宋体"/>
          <w:sz w:val="24"/>
        </w:rPr>
        <w:t>1.项目名称：</w:t>
      </w:r>
      <w:r>
        <w:rPr>
          <w:rFonts w:hint="eastAsia" w:ascii="宋体" w:hAnsi="宋体" w:cs="Tahoma"/>
          <w:kern w:val="28"/>
          <w:sz w:val="24"/>
          <w:u w:val="single"/>
        </w:rPr>
        <w:t>2025年6月-9月梅州校区物业管理服务（保洁、绿化及水电维护）服务商资格遴选采购项目</w:t>
      </w:r>
    </w:p>
    <w:p w14:paraId="2084A0D4">
      <w:pPr>
        <w:spacing w:line="440" w:lineRule="exact"/>
        <w:ind w:firstLine="480" w:firstLineChars="200"/>
        <w:rPr>
          <w:rFonts w:ascii="宋体" w:hAnsi="宋体"/>
          <w:sz w:val="24"/>
        </w:rPr>
      </w:pPr>
      <w:r>
        <w:rPr>
          <w:rFonts w:hint="eastAsia" w:ascii="宋体" w:hAnsi="宋体"/>
          <w:sz w:val="24"/>
        </w:rPr>
        <w:t>2.项目概况和预算：</w:t>
      </w:r>
    </w:p>
    <w:p w14:paraId="0167EF4E">
      <w:pPr>
        <w:spacing w:line="440" w:lineRule="exact"/>
        <w:ind w:firstLine="480" w:firstLineChars="200"/>
        <w:rPr>
          <w:rFonts w:ascii="宋体" w:hAnsi="宋体"/>
          <w:sz w:val="24"/>
        </w:rPr>
      </w:pPr>
      <w:r>
        <w:rPr>
          <w:rFonts w:hint="eastAsia" w:ascii="宋体" w:hAnsi="宋体"/>
          <w:sz w:val="24"/>
        </w:rPr>
        <w:t>（1）项目内容、需求及</w:t>
      </w:r>
      <w:r>
        <w:rPr>
          <w:rFonts w:ascii="宋体" w:hAnsi="宋体"/>
          <w:sz w:val="24"/>
        </w:rPr>
        <w:t>简要技术要求</w:t>
      </w:r>
      <w:r>
        <w:rPr>
          <w:rFonts w:hint="eastAsia" w:ascii="宋体" w:hAnsi="宋体"/>
          <w:sz w:val="24"/>
        </w:rPr>
        <w:t>：详见“采购项目说明”。</w:t>
      </w:r>
    </w:p>
    <w:p w14:paraId="233E0B2C">
      <w:pPr>
        <w:spacing w:line="440" w:lineRule="exact"/>
        <w:ind w:firstLine="480" w:firstLineChars="200"/>
        <w:rPr>
          <w:rFonts w:ascii="宋体" w:hAnsi="宋体"/>
          <w:sz w:val="24"/>
        </w:rPr>
      </w:pPr>
      <w:r>
        <w:rPr>
          <w:rFonts w:hint="eastAsia" w:ascii="宋体" w:hAnsi="宋体"/>
          <w:sz w:val="24"/>
        </w:rPr>
        <w:t>（2）采购预算：最高限额人民贰拾陆万元整（￥260000.00元）。</w:t>
      </w:r>
      <w:r>
        <w:rPr>
          <w:rFonts w:hint="eastAsia" w:ascii="宋体" w:hAnsi="宋体"/>
          <w:bCs/>
          <w:sz w:val="24"/>
        </w:rPr>
        <w:t>超过最高限价的投标报价为无效报价。</w:t>
      </w:r>
    </w:p>
    <w:p w14:paraId="50CE1BC2">
      <w:pPr>
        <w:spacing w:line="440" w:lineRule="exact"/>
        <w:ind w:firstLine="482" w:firstLineChars="200"/>
        <w:rPr>
          <w:rFonts w:ascii="宋体" w:hAnsi="宋体"/>
          <w:b/>
          <w:sz w:val="24"/>
        </w:rPr>
      </w:pPr>
      <w:r>
        <w:rPr>
          <w:rFonts w:hint="eastAsia" w:ascii="宋体" w:hAnsi="宋体"/>
          <w:b/>
          <w:sz w:val="24"/>
        </w:rPr>
        <w:t>二、合格投标人条件</w:t>
      </w:r>
    </w:p>
    <w:p w14:paraId="225BDAA0">
      <w:pPr>
        <w:spacing w:line="440" w:lineRule="exact"/>
        <w:ind w:firstLine="480" w:firstLineChars="200"/>
        <w:rPr>
          <w:rFonts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14:paraId="1B45FFA9">
      <w:pPr>
        <w:spacing w:line="440" w:lineRule="exact"/>
        <w:ind w:firstLine="480" w:firstLineChars="200"/>
        <w:rPr>
          <w:rFonts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14:paraId="18CCD385">
      <w:pPr>
        <w:spacing w:line="440" w:lineRule="exact"/>
        <w:ind w:firstLine="480" w:firstLineChars="200"/>
        <w:rPr>
          <w:rFonts w:hint="eastAsia" w:ascii="宋体" w:hAnsi="宋体"/>
          <w:sz w:val="24"/>
        </w:rPr>
      </w:pPr>
      <w:r>
        <w:rPr>
          <w:rFonts w:hint="eastAsia" w:ascii="宋体" w:hAnsi="宋体"/>
          <w:sz w:val="24"/>
        </w:rPr>
        <w:t>3.单位负责人为同一人或者存在直接控股、管理关系的不同供应商，不得参加同一招标项目的采购活动。如同时参加，则评审时均作无效投标处理（提供承诺函并盖公章，格式详见附件2）。</w:t>
      </w:r>
    </w:p>
    <w:p w14:paraId="58D5EA2D">
      <w:pPr>
        <w:pStyle w:val="6"/>
        <w:snapToGrid w:val="0"/>
        <w:spacing w:line="360" w:lineRule="auto"/>
        <w:ind w:right="25" w:rightChars="12"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4.本项目专门面向中小企业采购,供应商应为中小微企业、监狱企业、残疾人福利性单位。（提供《中小企业声明函》或属于监狱企业的证明材料或《残疾人福利性单位声明函》）</w:t>
      </w:r>
      <w:r>
        <w:rPr>
          <w:rFonts w:hint="eastAsia" w:ascii="宋体" w:eastAsia="宋体" w:cs="Times New Roman"/>
          <w:kern w:val="2"/>
          <w:sz w:val="24"/>
          <w:szCs w:val="24"/>
          <w:lang w:val="en-US" w:eastAsia="zh-CN" w:bidi="ar-SA"/>
        </w:rPr>
        <w:t>。</w:t>
      </w:r>
    </w:p>
    <w:p w14:paraId="0E665544">
      <w:pPr>
        <w:pStyle w:val="6"/>
        <w:snapToGrid w:val="0"/>
        <w:spacing w:line="360" w:lineRule="auto"/>
        <w:ind w:right="25" w:rightChars="12" w:firstLine="480" w:firstLineChars="200"/>
        <w:rPr>
          <w:rFonts w:ascii="宋体" w:eastAsia="宋体" w:cs="Tahoma"/>
          <w:b w:val="0"/>
          <w:bCs/>
          <w:sz w:val="24"/>
        </w:rPr>
      </w:pPr>
      <w:r>
        <w:rPr>
          <w:rFonts w:hint="eastAsia" w:ascii="宋体"/>
          <w:sz w:val="24"/>
          <w:lang w:val="en-US" w:eastAsia="zh-CN"/>
        </w:rPr>
        <w:t>5</w:t>
      </w:r>
      <w:r>
        <w:rPr>
          <w:rFonts w:hint="eastAsia" w:ascii="宋体"/>
          <w:sz w:val="24"/>
        </w:rPr>
        <w:t>.</w:t>
      </w:r>
      <w:r>
        <w:rPr>
          <w:rFonts w:hint="eastAsia" w:ascii="宋体" w:eastAsia="宋体" w:cs="宋体"/>
          <w:bCs/>
          <w:sz w:val="24"/>
        </w:rPr>
        <w:t>响应供应商须为广东政府采购智慧云平台电子卖场集采馆中“物业管理服务”</w:t>
      </w:r>
      <w:r>
        <w:rPr>
          <w:rFonts w:hint="eastAsia" w:ascii="宋体" w:eastAsia="宋体" w:cs="Tahoma"/>
          <w:bCs/>
          <w:sz w:val="24"/>
        </w:rPr>
        <w:t>名录内的定点供应商，在遴选结果公告后，根据采购人要求在广东政府采购智慧云平台电子卖场参与项目定点议价程序及签订合</w:t>
      </w:r>
      <w:r>
        <w:rPr>
          <w:rFonts w:hint="eastAsia" w:ascii="宋体" w:eastAsia="宋体" w:cs="Tahoma"/>
          <w:b w:val="0"/>
          <w:bCs/>
          <w:sz w:val="24"/>
        </w:rPr>
        <w:t>同。（提供相关证明材料和承诺函，格式自拟）</w:t>
      </w:r>
    </w:p>
    <w:p w14:paraId="2CD24251">
      <w:pPr>
        <w:spacing w:line="44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.本项目不接受联合体投标。</w:t>
      </w:r>
    </w:p>
    <w:p w14:paraId="0BE9AA38">
      <w:pPr>
        <w:spacing w:line="440" w:lineRule="exact"/>
        <w:ind w:firstLine="420"/>
        <w:rPr>
          <w:rFonts w:ascii="宋体" w:hAnsi="宋体"/>
          <w:b/>
          <w:sz w:val="24"/>
        </w:rPr>
      </w:pPr>
      <w:r>
        <w:rPr>
          <w:rFonts w:hint="eastAsia" w:ascii="宋体" w:hAnsi="宋体"/>
          <w:b/>
          <w:sz w:val="24"/>
        </w:rPr>
        <w:t>三、获取招标文件时间及方式</w:t>
      </w:r>
    </w:p>
    <w:p w14:paraId="7E50530B">
      <w:pPr>
        <w:spacing w:line="440" w:lineRule="exact"/>
        <w:ind w:firstLine="480" w:firstLineChars="200"/>
        <w:rPr>
          <w:rFonts w:ascii="宋体" w:hAnsi="宋体"/>
          <w:sz w:val="24"/>
        </w:rPr>
      </w:pPr>
      <w:r>
        <w:rPr>
          <w:rFonts w:hint="eastAsia" w:ascii="宋体" w:hAnsi="宋体"/>
          <w:sz w:val="24"/>
        </w:rPr>
        <w:t>1.获取时间：2025年</w:t>
      </w:r>
      <w:r>
        <w:rPr>
          <w:rFonts w:hint="eastAsia" w:ascii="宋体" w:hAnsi="宋体"/>
          <w:sz w:val="24"/>
          <w:u w:val="single"/>
        </w:rPr>
        <w:t>5</w:t>
      </w:r>
      <w:r>
        <w:rPr>
          <w:rFonts w:hint="eastAsia" w:ascii="宋体" w:hAnsi="宋体"/>
          <w:sz w:val="24"/>
        </w:rPr>
        <w:t>月</w:t>
      </w:r>
      <w:r>
        <w:rPr>
          <w:rFonts w:hint="eastAsia" w:ascii="宋体" w:hAnsi="宋体"/>
          <w:sz w:val="24"/>
          <w:u w:val="single"/>
          <w:lang w:val="en-US" w:eastAsia="zh-CN"/>
        </w:rPr>
        <w:t>19</w:t>
      </w:r>
      <w:r>
        <w:rPr>
          <w:rFonts w:hint="eastAsia" w:ascii="宋体" w:hAnsi="宋体"/>
          <w:sz w:val="24"/>
        </w:rPr>
        <w:t>日至</w:t>
      </w:r>
      <w:r>
        <w:rPr>
          <w:rFonts w:hint="eastAsia" w:ascii="宋体" w:hAnsi="宋体"/>
          <w:sz w:val="24"/>
          <w:u w:val="single"/>
          <w:lang w:val="en-US" w:eastAsia="zh-CN"/>
        </w:rPr>
        <w:t>22</w:t>
      </w:r>
      <w:r>
        <w:rPr>
          <w:rFonts w:hint="eastAsia" w:ascii="宋体" w:hAnsi="宋体"/>
          <w:sz w:val="24"/>
        </w:rPr>
        <w:t>日。</w:t>
      </w:r>
    </w:p>
    <w:p w14:paraId="64FA99E2">
      <w:pPr>
        <w:spacing w:line="440" w:lineRule="exact"/>
        <w:ind w:firstLine="480" w:firstLineChars="200"/>
        <w:rPr>
          <w:rFonts w:ascii="宋体" w:hAnsi="宋体"/>
          <w:sz w:val="24"/>
        </w:rPr>
      </w:pPr>
      <w:r>
        <w:rPr>
          <w:rFonts w:hint="eastAsia" w:ascii="宋体" w:hAnsi="宋体"/>
          <w:sz w:val="24"/>
        </w:rPr>
        <w:t>2.获取方式：广东省粤东技师学院官网“通知公告栏”（https://www.gdydgj.com/）在线免费获取招标文件。</w:t>
      </w:r>
    </w:p>
    <w:p w14:paraId="68EB389A">
      <w:pPr>
        <w:spacing w:line="440" w:lineRule="exact"/>
        <w:ind w:firstLine="420"/>
        <w:rPr>
          <w:rFonts w:ascii="宋体" w:hAnsi="宋体"/>
          <w:b/>
          <w:sz w:val="24"/>
        </w:rPr>
      </w:pPr>
      <w:r>
        <w:rPr>
          <w:rFonts w:hint="eastAsia" w:ascii="宋体" w:hAnsi="宋体"/>
          <w:b/>
          <w:sz w:val="24"/>
        </w:rPr>
        <w:t>四、投标截止时间、开标时间及地点</w:t>
      </w:r>
    </w:p>
    <w:p w14:paraId="6654C6B8">
      <w:pPr>
        <w:spacing w:line="360" w:lineRule="auto"/>
        <w:ind w:firstLine="480" w:firstLineChars="200"/>
        <w:rPr>
          <w:rFonts w:ascii="宋体" w:hAnsi="宋体" w:cs="宋体"/>
          <w:bCs/>
          <w:sz w:val="24"/>
        </w:rPr>
      </w:pPr>
      <w:r>
        <w:rPr>
          <w:rFonts w:hint="eastAsia" w:ascii="宋体" w:hAnsi="宋体" w:cs="宋体"/>
          <w:bCs/>
          <w:sz w:val="24"/>
          <w:lang w:bidi="ar"/>
        </w:rPr>
        <w:t>1. 投标截止时间</w:t>
      </w:r>
      <w:r>
        <w:rPr>
          <w:rFonts w:hint="eastAsia" w:ascii="宋体" w:hAnsi="宋体" w:cs="宋体"/>
          <w:color w:val="000000"/>
          <w:sz w:val="24"/>
          <w:shd w:val="clear" w:color="auto" w:fill="FFFFFF"/>
          <w:lang w:bidi="ar"/>
        </w:rPr>
        <w:t>（投标人需现场提交报价文件）</w:t>
      </w:r>
      <w:r>
        <w:rPr>
          <w:rFonts w:hint="eastAsia" w:ascii="宋体" w:hAnsi="宋体" w:cs="宋体"/>
          <w:bCs/>
          <w:sz w:val="24"/>
          <w:lang w:bidi="ar"/>
        </w:rPr>
        <w:t>：2025年</w:t>
      </w:r>
      <w:r>
        <w:rPr>
          <w:rFonts w:hint="eastAsia" w:ascii="宋体" w:hAnsi="宋体" w:cs="宋体"/>
          <w:bCs/>
          <w:sz w:val="24"/>
          <w:u w:val="single"/>
          <w:lang w:bidi="ar"/>
        </w:rPr>
        <w:t>5</w:t>
      </w:r>
      <w:r>
        <w:rPr>
          <w:rFonts w:hint="eastAsia" w:ascii="宋体" w:hAnsi="宋体" w:cs="宋体"/>
          <w:bCs/>
          <w:sz w:val="24"/>
          <w:lang w:bidi="ar"/>
        </w:rPr>
        <w:t>月</w:t>
      </w:r>
      <w:r>
        <w:rPr>
          <w:rFonts w:hint="eastAsia" w:ascii="宋体" w:hAnsi="宋体" w:cs="宋体"/>
          <w:bCs/>
          <w:sz w:val="24"/>
          <w:u w:val="single"/>
          <w:lang w:val="en-US" w:eastAsia="zh-CN" w:bidi="ar"/>
        </w:rPr>
        <w:t>23</w:t>
      </w:r>
      <w:r>
        <w:rPr>
          <w:rFonts w:hint="eastAsia" w:ascii="宋体" w:hAnsi="宋体" w:cs="宋体"/>
          <w:bCs/>
          <w:sz w:val="24"/>
          <w:lang w:bidi="ar"/>
        </w:rPr>
        <w:t xml:space="preserve">日 </w:t>
      </w:r>
      <w:r>
        <w:rPr>
          <w:rFonts w:hint="eastAsia" w:ascii="宋体" w:hAnsi="宋体" w:cs="宋体"/>
          <w:bCs/>
          <w:sz w:val="24"/>
          <w:lang w:val="en-US" w:eastAsia="zh-CN" w:bidi="ar"/>
        </w:rPr>
        <w:t>15</w:t>
      </w:r>
      <w:r>
        <w:rPr>
          <w:rFonts w:hint="eastAsia" w:ascii="宋体" w:hAnsi="宋体" w:cs="宋体"/>
          <w:bCs/>
          <w:sz w:val="24"/>
          <w:lang w:bidi="ar"/>
        </w:rPr>
        <w:t xml:space="preserve"> 时</w:t>
      </w:r>
      <w:r>
        <w:rPr>
          <w:rFonts w:hint="eastAsia" w:ascii="宋体" w:hAnsi="宋体" w:cs="宋体"/>
          <w:bCs/>
          <w:sz w:val="24"/>
          <w:lang w:val="en-US" w:eastAsia="zh-CN" w:bidi="ar"/>
        </w:rPr>
        <w:t>0</w:t>
      </w:r>
      <w:r>
        <w:rPr>
          <w:rFonts w:hint="eastAsia" w:ascii="宋体" w:hAnsi="宋体" w:cs="宋体"/>
          <w:bCs/>
          <w:sz w:val="24"/>
          <w:lang w:bidi="ar"/>
        </w:rPr>
        <w:t>0 分。</w:t>
      </w:r>
    </w:p>
    <w:p w14:paraId="7D300615">
      <w:pPr>
        <w:spacing w:line="360" w:lineRule="auto"/>
        <w:ind w:firstLine="480" w:firstLineChars="200"/>
        <w:rPr>
          <w:rFonts w:ascii="宋体" w:hAnsi="宋体" w:cs="宋体"/>
          <w:bCs/>
          <w:sz w:val="24"/>
        </w:rPr>
      </w:pPr>
      <w:r>
        <w:rPr>
          <w:rFonts w:hint="eastAsia" w:ascii="宋体" w:hAnsi="宋体" w:cs="宋体"/>
          <w:bCs/>
          <w:sz w:val="24"/>
          <w:lang w:bidi="ar"/>
        </w:rPr>
        <w:t>2．投标文件送达地点：汕头市濠江区北山湾路32号广东省粤东技师学院行政楼314室物资招标采购中心（密封件加盖公章）。</w:t>
      </w:r>
    </w:p>
    <w:p w14:paraId="0A1DAF74">
      <w:pPr>
        <w:spacing w:line="360" w:lineRule="auto"/>
        <w:ind w:firstLine="480" w:firstLineChars="200"/>
        <w:rPr>
          <w:rFonts w:ascii="宋体" w:hAnsi="宋体" w:cs="宋体"/>
          <w:bCs/>
          <w:sz w:val="24"/>
        </w:rPr>
      </w:pPr>
      <w:r>
        <w:rPr>
          <w:rFonts w:hint="eastAsia" w:ascii="宋体" w:hAnsi="宋体" w:cs="宋体"/>
          <w:bCs/>
          <w:sz w:val="24"/>
          <w:lang w:bidi="ar"/>
        </w:rPr>
        <w:t>3．开标评标时间</w:t>
      </w:r>
      <w:r>
        <w:rPr>
          <w:rFonts w:hint="eastAsia" w:ascii="宋体" w:hAnsi="宋体" w:cs="宋体"/>
          <w:color w:val="000000"/>
          <w:sz w:val="24"/>
          <w:shd w:val="clear" w:color="auto" w:fill="FFFFFF"/>
          <w:lang w:bidi="ar"/>
        </w:rPr>
        <w:t>（报价人可参加项目开标会）</w:t>
      </w:r>
      <w:r>
        <w:rPr>
          <w:rFonts w:hint="eastAsia" w:ascii="宋体" w:hAnsi="宋体" w:cs="宋体"/>
          <w:bCs/>
          <w:sz w:val="24"/>
          <w:lang w:bidi="ar"/>
        </w:rPr>
        <w:t>：2025年</w:t>
      </w:r>
      <w:r>
        <w:rPr>
          <w:rFonts w:hint="eastAsia" w:ascii="宋体" w:hAnsi="宋体" w:cs="宋体"/>
          <w:bCs/>
          <w:sz w:val="24"/>
          <w:u w:val="single"/>
          <w:lang w:bidi="ar"/>
        </w:rPr>
        <w:t>5</w:t>
      </w:r>
      <w:r>
        <w:rPr>
          <w:rFonts w:hint="eastAsia" w:ascii="宋体" w:hAnsi="宋体" w:cs="宋体"/>
          <w:bCs/>
          <w:sz w:val="24"/>
          <w:lang w:bidi="ar"/>
        </w:rPr>
        <w:t>月</w:t>
      </w:r>
      <w:r>
        <w:rPr>
          <w:rFonts w:hint="eastAsia" w:ascii="宋体" w:hAnsi="宋体" w:cs="宋体"/>
          <w:bCs/>
          <w:sz w:val="24"/>
          <w:u w:val="single"/>
          <w:lang w:val="en-US" w:eastAsia="zh-CN" w:bidi="ar"/>
        </w:rPr>
        <w:t>23</w:t>
      </w:r>
      <w:r>
        <w:rPr>
          <w:rFonts w:hint="eastAsia" w:ascii="宋体" w:hAnsi="宋体" w:cs="宋体"/>
          <w:bCs/>
          <w:sz w:val="24"/>
          <w:lang w:bidi="ar"/>
        </w:rPr>
        <w:t>日</w:t>
      </w:r>
      <w:r>
        <w:rPr>
          <w:rFonts w:hint="eastAsia" w:ascii="宋体" w:hAnsi="宋体" w:cs="宋体"/>
          <w:bCs/>
          <w:sz w:val="24"/>
          <w:lang w:val="en-US" w:eastAsia="zh-CN" w:bidi="ar"/>
        </w:rPr>
        <w:t>15</w:t>
      </w:r>
      <w:r>
        <w:rPr>
          <w:rFonts w:hint="eastAsia" w:ascii="宋体" w:hAnsi="宋体" w:cs="宋体"/>
          <w:bCs/>
          <w:sz w:val="24"/>
          <w:lang w:bidi="ar"/>
        </w:rPr>
        <w:t>时</w:t>
      </w:r>
      <w:r>
        <w:rPr>
          <w:rFonts w:hint="eastAsia" w:ascii="宋体" w:hAnsi="宋体" w:cs="宋体"/>
          <w:bCs/>
          <w:sz w:val="24"/>
          <w:lang w:val="en-US" w:eastAsia="zh-CN" w:bidi="ar"/>
        </w:rPr>
        <w:t>0</w:t>
      </w:r>
      <w:r>
        <w:rPr>
          <w:rFonts w:hint="eastAsia" w:ascii="宋体" w:hAnsi="宋体" w:cs="宋体"/>
          <w:bCs/>
          <w:sz w:val="24"/>
          <w:lang w:bidi="ar"/>
        </w:rPr>
        <w:t>0分。</w:t>
      </w:r>
    </w:p>
    <w:p w14:paraId="42670C46">
      <w:pPr>
        <w:spacing w:line="360" w:lineRule="auto"/>
        <w:ind w:firstLine="480" w:firstLineChars="200"/>
        <w:rPr>
          <w:rFonts w:ascii="宋体" w:hAnsi="宋体" w:cs="宋体"/>
          <w:bCs/>
          <w:sz w:val="24"/>
        </w:rPr>
      </w:pPr>
      <w:r>
        <w:rPr>
          <w:rFonts w:hint="eastAsia" w:ascii="宋体" w:hAnsi="宋体" w:cs="宋体"/>
          <w:bCs/>
          <w:sz w:val="24"/>
          <w:lang w:bidi="ar"/>
        </w:rPr>
        <w:t>4．开标地点：汕头市濠江区北山湾路32号广东省粤东技师学院行政楼3楼评标室。</w:t>
      </w:r>
    </w:p>
    <w:p w14:paraId="23CCE425">
      <w:pPr>
        <w:spacing w:line="440" w:lineRule="exact"/>
        <w:ind w:firstLine="420"/>
        <w:rPr>
          <w:rFonts w:ascii="宋体" w:hAnsi="宋体"/>
          <w:b/>
          <w:sz w:val="24"/>
        </w:rPr>
      </w:pPr>
      <w:r>
        <w:rPr>
          <w:rFonts w:hint="eastAsia" w:ascii="宋体" w:hAnsi="宋体"/>
          <w:b/>
          <w:sz w:val="24"/>
        </w:rPr>
        <w:t>五、采购人联系方式</w:t>
      </w:r>
    </w:p>
    <w:p w14:paraId="7624EC5A">
      <w:pPr>
        <w:spacing w:line="360" w:lineRule="auto"/>
        <w:ind w:firstLine="420"/>
        <w:rPr>
          <w:rFonts w:ascii="宋体" w:hAnsi="宋体" w:cs="宋体"/>
          <w:sz w:val="24"/>
        </w:rPr>
      </w:pPr>
      <w:r>
        <w:rPr>
          <w:rFonts w:hint="eastAsia" w:ascii="宋体" w:hAnsi="宋体" w:cs="宋体"/>
          <w:sz w:val="24"/>
          <w:lang w:bidi="ar"/>
        </w:rPr>
        <w:t>联系部门：广东省粤东技师学院物资招标采购中心</w:t>
      </w:r>
    </w:p>
    <w:p w14:paraId="20BE7A43">
      <w:pPr>
        <w:spacing w:line="360" w:lineRule="auto"/>
        <w:ind w:firstLine="420"/>
        <w:rPr>
          <w:rFonts w:ascii="宋体" w:hAnsi="宋体" w:cs="宋体"/>
          <w:sz w:val="24"/>
        </w:rPr>
      </w:pPr>
      <w:r>
        <w:rPr>
          <w:rFonts w:hint="eastAsia" w:ascii="宋体" w:hAnsi="宋体" w:cs="宋体"/>
          <w:sz w:val="24"/>
          <w:lang w:bidi="ar"/>
        </w:rPr>
        <w:t>联系地址：</w:t>
      </w:r>
      <w:r>
        <w:rPr>
          <w:rFonts w:hint="eastAsia" w:ascii="宋体" w:hAnsi="宋体" w:cs="宋体"/>
          <w:color w:val="000000"/>
          <w:sz w:val="24"/>
          <w:lang w:bidi="ar"/>
        </w:rPr>
        <w:t>汕头市濠江区北山湾路32号广东省粤东技师学院行政楼3楼314室物资招标采购中心</w:t>
      </w:r>
    </w:p>
    <w:p w14:paraId="33A37C7E">
      <w:pPr>
        <w:spacing w:line="360" w:lineRule="auto"/>
        <w:ind w:firstLine="420"/>
        <w:rPr>
          <w:rFonts w:ascii="宋体" w:hAnsi="宋体" w:cs="宋体"/>
          <w:sz w:val="24"/>
        </w:rPr>
      </w:pPr>
      <w:r>
        <w:rPr>
          <w:rFonts w:hint="eastAsia" w:ascii="宋体" w:hAnsi="宋体" w:cs="宋体"/>
          <w:sz w:val="24"/>
          <w:lang w:bidi="ar"/>
        </w:rPr>
        <w:t>联系人：李老师</w:t>
      </w:r>
      <w:bookmarkStart w:id="3" w:name="_GoBack"/>
      <w:bookmarkEnd w:id="3"/>
    </w:p>
    <w:p w14:paraId="1634232A">
      <w:pPr>
        <w:spacing w:line="360" w:lineRule="auto"/>
        <w:ind w:firstLine="420"/>
        <w:rPr>
          <w:rFonts w:ascii="宋体" w:hAnsi="宋体" w:cs="宋体"/>
          <w:color w:val="000000"/>
          <w:sz w:val="24"/>
        </w:rPr>
      </w:pPr>
      <w:r>
        <w:rPr>
          <w:rFonts w:hint="eastAsia" w:ascii="宋体" w:hAnsi="宋体" w:cs="宋体"/>
          <w:sz w:val="24"/>
          <w:lang w:bidi="ar"/>
        </w:rPr>
        <w:t>联系方式：</w:t>
      </w:r>
      <w:r>
        <w:rPr>
          <w:rFonts w:hint="eastAsia" w:ascii="宋体" w:hAnsi="宋体" w:cs="宋体"/>
          <w:color w:val="000000"/>
          <w:sz w:val="24"/>
          <w:lang w:bidi="ar"/>
        </w:rPr>
        <w:t>0754-89690115、88307771</w:t>
      </w:r>
    </w:p>
    <w:p w14:paraId="77EC73E7">
      <w:pPr>
        <w:spacing w:line="440" w:lineRule="exact"/>
        <w:ind w:firstLine="420" w:firstLineChars="200"/>
        <w:rPr>
          <w:rFonts w:ascii="宋体" w:hAnsi="宋体" w:cs="Tahoma"/>
          <w:kern w:val="28"/>
          <w:szCs w:val="21"/>
        </w:rPr>
      </w:pPr>
      <w:r>
        <w:rPr>
          <w:rFonts w:hint="eastAsia" w:ascii="宋体" w:hAnsi="宋体" w:cs="Tahoma"/>
          <w:kern w:val="28"/>
          <w:szCs w:val="21"/>
        </w:rPr>
        <w:t xml:space="preserve">       </w:t>
      </w:r>
    </w:p>
    <w:p w14:paraId="5FEB216D">
      <w:pPr>
        <w:spacing w:line="440" w:lineRule="exact"/>
        <w:ind w:firstLine="420"/>
        <w:rPr>
          <w:rFonts w:ascii="宋体" w:hAnsi="宋体"/>
          <w:sz w:val="24"/>
        </w:rPr>
      </w:pPr>
      <w:r>
        <w:rPr>
          <w:rFonts w:hint="eastAsia" w:ascii="宋体" w:hAnsi="宋体"/>
          <w:sz w:val="24"/>
        </w:rPr>
        <w:t xml:space="preserve">                                 </w:t>
      </w:r>
    </w:p>
    <w:p w14:paraId="24A1B9C1">
      <w:pPr>
        <w:spacing w:line="440" w:lineRule="exact"/>
        <w:ind w:firstLine="420"/>
        <w:rPr>
          <w:rFonts w:ascii="宋体" w:hAnsi="宋体"/>
          <w:sz w:val="24"/>
        </w:rPr>
      </w:pPr>
    </w:p>
    <w:p w14:paraId="12A0C232">
      <w:pPr>
        <w:tabs>
          <w:tab w:val="left" w:pos="7740"/>
        </w:tabs>
        <w:spacing w:line="440" w:lineRule="exact"/>
        <w:jc w:val="center"/>
        <w:rPr>
          <w:rFonts w:ascii="宋体" w:hAnsi="宋体"/>
          <w:sz w:val="24"/>
        </w:rPr>
      </w:pPr>
      <w:r>
        <w:rPr>
          <w:rFonts w:hint="eastAsia" w:ascii="宋体" w:hAnsi="宋体"/>
          <w:sz w:val="24"/>
        </w:rPr>
        <w:t xml:space="preserve">                                            广东省粤东技师学院</w:t>
      </w:r>
    </w:p>
    <w:p w14:paraId="511A9EF4">
      <w:pPr>
        <w:tabs>
          <w:tab w:val="left" w:pos="7740"/>
        </w:tabs>
        <w:spacing w:line="440" w:lineRule="exact"/>
        <w:jc w:val="center"/>
        <w:rPr>
          <w:rFonts w:ascii="宋体" w:hAnsi="宋体"/>
          <w:sz w:val="24"/>
        </w:rPr>
      </w:pPr>
      <w:r>
        <w:rPr>
          <w:rFonts w:hint="eastAsia" w:ascii="宋体" w:hAnsi="宋体"/>
          <w:sz w:val="24"/>
        </w:rPr>
        <w:t xml:space="preserve">                                              2025年5月</w:t>
      </w:r>
      <w:r>
        <w:rPr>
          <w:rFonts w:hint="eastAsia" w:ascii="宋体" w:hAnsi="宋体"/>
          <w:sz w:val="24"/>
          <w:lang w:val="en-US" w:eastAsia="zh-CN"/>
        </w:rPr>
        <w:t>19</w:t>
      </w:r>
      <w:r>
        <w:rPr>
          <w:rFonts w:hint="eastAsia" w:ascii="宋体" w:hAnsi="宋体"/>
          <w:sz w:val="24"/>
        </w:rPr>
        <w:t>日</w:t>
      </w:r>
    </w:p>
    <w:p w14:paraId="106475B5">
      <w:pPr>
        <w:spacing w:line="360" w:lineRule="auto"/>
        <w:jc w:val="center"/>
        <w:rPr>
          <w:rFonts w:ascii="宋体" w:hAnsi="宋体"/>
          <w:b/>
          <w:kern w:val="28"/>
          <w:sz w:val="36"/>
          <w:szCs w:val="36"/>
        </w:rPr>
      </w:pPr>
      <w:r>
        <w:rPr>
          <w:rFonts w:hint="eastAsia" w:ascii="宋体" w:hAnsi="宋体"/>
          <w:b/>
          <w:kern w:val="28"/>
          <w:sz w:val="36"/>
          <w:szCs w:val="36"/>
        </w:rPr>
        <w:br w:type="page"/>
      </w:r>
      <w:r>
        <w:rPr>
          <w:rFonts w:hint="eastAsia" w:ascii="宋体" w:hAnsi="宋体"/>
          <w:b/>
          <w:kern w:val="28"/>
          <w:sz w:val="36"/>
          <w:szCs w:val="36"/>
        </w:rPr>
        <w:t>采购项目说明</w:t>
      </w:r>
    </w:p>
    <w:p w14:paraId="167B2B2B">
      <w:pPr>
        <w:spacing w:line="360" w:lineRule="auto"/>
        <w:ind w:firstLine="420"/>
        <w:outlineLvl w:val="0"/>
        <w:rPr>
          <w:rFonts w:ascii="宋体" w:hAnsi="宋体"/>
          <w:b/>
          <w:sz w:val="24"/>
        </w:rPr>
      </w:pPr>
      <w:r>
        <w:rPr>
          <w:rFonts w:hint="eastAsia" w:ascii="宋体" w:hAnsi="宋体"/>
          <w:b/>
          <w:sz w:val="24"/>
        </w:rPr>
        <w:t>一、服务要求、服务时间及服务地点</w:t>
      </w:r>
    </w:p>
    <w:p w14:paraId="4637AC6C">
      <w:pPr>
        <w:snapToGrid w:val="0"/>
        <w:spacing w:line="420" w:lineRule="exact"/>
        <w:ind w:firstLine="420"/>
        <w:rPr>
          <w:rFonts w:hint="eastAsia" w:ascii="宋体" w:hAnsi="宋体" w:eastAsia="宋体"/>
          <w:sz w:val="24"/>
        </w:rPr>
      </w:pPr>
      <w:r>
        <w:rPr>
          <w:rFonts w:hint="eastAsia" w:ascii="宋体" w:hAnsi="宋体" w:eastAsia="宋体"/>
          <w:sz w:val="24"/>
        </w:rPr>
        <w:t>（一）服务要求</w:t>
      </w:r>
    </w:p>
    <w:p w14:paraId="6B594985">
      <w:pPr>
        <w:snapToGrid w:val="0"/>
        <w:spacing w:line="420" w:lineRule="exact"/>
        <w:ind w:firstLine="420"/>
        <w:rPr>
          <w:rFonts w:hint="eastAsia" w:ascii="宋体" w:hAnsi="宋体" w:eastAsia="宋体"/>
          <w:sz w:val="24"/>
        </w:rPr>
      </w:pPr>
      <w:r>
        <w:rPr>
          <w:rFonts w:hint="eastAsia" w:ascii="宋体" w:hAnsi="宋体" w:eastAsia="宋体"/>
          <w:sz w:val="24"/>
        </w:rPr>
        <w:t>详见附件1：用户需求书</w:t>
      </w:r>
    </w:p>
    <w:p w14:paraId="09769BC4">
      <w:pPr>
        <w:snapToGrid w:val="0"/>
        <w:spacing w:line="420" w:lineRule="exact"/>
        <w:ind w:firstLine="420"/>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二</w:t>
      </w:r>
      <w:r>
        <w:rPr>
          <w:rFonts w:hint="eastAsia" w:ascii="宋体" w:hAnsi="宋体" w:eastAsia="宋体"/>
          <w:sz w:val="24"/>
        </w:rPr>
        <w:t>）服务时间：2025年6月-9月。</w:t>
      </w:r>
    </w:p>
    <w:p w14:paraId="3726DD7A">
      <w:pPr>
        <w:snapToGrid w:val="0"/>
        <w:spacing w:line="420" w:lineRule="exact"/>
        <w:ind w:firstLine="420"/>
        <w:rPr>
          <w:rFonts w:ascii="宋体" w:hAnsi="宋体"/>
          <w:bCs/>
          <w:sz w:val="24"/>
        </w:rPr>
      </w:pPr>
      <w:r>
        <w:rPr>
          <w:rFonts w:hint="eastAsia" w:ascii="宋体" w:hAnsi="宋体" w:eastAsia="宋体"/>
          <w:sz w:val="24"/>
        </w:rPr>
        <w:t>（</w:t>
      </w:r>
      <w:r>
        <w:rPr>
          <w:rFonts w:hint="eastAsia" w:ascii="宋体" w:hAnsi="宋体" w:eastAsia="宋体"/>
          <w:sz w:val="24"/>
          <w:lang w:val="en-US" w:eastAsia="zh-CN"/>
        </w:rPr>
        <w:t>三</w:t>
      </w:r>
      <w:r>
        <w:rPr>
          <w:rFonts w:hint="eastAsia" w:ascii="宋体" w:hAnsi="宋体" w:eastAsia="宋体"/>
          <w:sz w:val="24"/>
        </w:rPr>
        <w:t>）服务地点：梅州市梅江区环市北路63号广东省粤东技师学</w:t>
      </w:r>
      <w:r>
        <w:rPr>
          <w:rFonts w:hint="eastAsia" w:ascii="宋体" w:hAnsi="宋体"/>
          <w:bCs/>
          <w:sz w:val="24"/>
        </w:rPr>
        <w:t>院梅州校区</w:t>
      </w:r>
    </w:p>
    <w:p w14:paraId="5F63D0F6">
      <w:pPr>
        <w:spacing w:line="400" w:lineRule="exact"/>
        <w:ind w:firstLine="420"/>
        <w:rPr>
          <w:rFonts w:ascii="宋体" w:hAnsi="宋体"/>
          <w:b/>
          <w:sz w:val="24"/>
        </w:rPr>
      </w:pPr>
      <w:r>
        <w:rPr>
          <w:rFonts w:hint="eastAsia" w:ascii="宋体" w:hAnsi="宋体"/>
          <w:b/>
          <w:sz w:val="24"/>
        </w:rPr>
        <w:t>二、投标报价</w:t>
      </w:r>
    </w:p>
    <w:p w14:paraId="155D578B">
      <w:pPr>
        <w:spacing w:line="400" w:lineRule="exact"/>
        <w:ind w:firstLine="420"/>
        <w:rPr>
          <w:rFonts w:ascii="宋体" w:hAnsi="宋体"/>
          <w:sz w:val="24"/>
        </w:rPr>
      </w:pPr>
      <w:r>
        <w:rPr>
          <w:rFonts w:hint="eastAsia" w:ascii="宋体" w:hAnsi="宋体"/>
          <w:sz w:val="24"/>
        </w:rPr>
        <w:t>（一）投标报价的文件和编制要求</w:t>
      </w:r>
    </w:p>
    <w:p w14:paraId="47E19762">
      <w:pPr>
        <w:snapToGrid w:val="0"/>
        <w:spacing w:line="420" w:lineRule="exact"/>
        <w:ind w:firstLine="420"/>
        <w:rPr>
          <w:rFonts w:ascii="宋体" w:hAnsi="宋体"/>
          <w:sz w:val="24"/>
        </w:rPr>
      </w:pPr>
      <w:r>
        <w:rPr>
          <w:rFonts w:hint="eastAsia" w:ascii="宋体" w:hAnsi="宋体"/>
          <w:sz w:val="24"/>
        </w:rPr>
        <w:t>投标人只需按招标人提供的项目清单进行报价，提供《报价函》并由法人代表或授权代表（授权代表需附法人授权书）签名加盖公章。各投标人的项目总报价必须低于本项目的采购预算，且不能低于投标人的企业成本，否则作无效标处理。</w:t>
      </w:r>
    </w:p>
    <w:p w14:paraId="3FA58F93">
      <w:pPr>
        <w:snapToGrid w:val="0"/>
        <w:spacing w:line="420" w:lineRule="exact"/>
        <w:ind w:firstLine="420"/>
        <w:rPr>
          <w:rFonts w:ascii="宋体" w:hAnsi="宋体"/>
          <w:sz w:val="24"/>
        </w:rPr>
      </w:pPr>
      <w:r>
        <w:rPr>
          <w:rFonts w:hint="eastAsia" w:ascii="宋体" w:hAnsi="宋体"/>
          <w:sz w:val="24"/>
        </w:rPr>
        <w:t>提供有效的营业执照、法人代表身份证复印件（加盖投标人法人公章）。</w:t>
      </w:r>
    </w:p>
    <w:p w14:paraId="1F270A64">
      <w:pPr>
        <w:spacing w:line="400" w:lineRule="exact"/>
        <w:ind w:firstLine="420"/>
        <w:rPr>
          <w:rFonts w:ascii="宋体" w:hAnsi="宋体"/>
          <w:sz w:val="24"/>
        </w:rPr>
      </w:pPr>
      <w:r>
        <w:rPr>
          <w:rFonts w:hint="eastAsia" w:ascii="宋体" w:hAnsi="宋体"/>
          <w:sz w:val="24"/>
        </w:rPr>
        <w:t>《报价函》连同营业执照、法人代表身份证复印件装在同一密封袋内，在封口处加盖公章。</w:t>
      </w:r>
    </w:p>
    <w:p w14:paraId="1B6D248F">
      <w:pPr>
        <w:spacing w:line="400" w:lineRule="exact"/>
        <w:ind w:firstLine="420"/>
        <w:rPr>
          <w:rFonts w:ascii="宋体" w:hAnsi="宋体"/>
          <w:sz w:val="24"/>
        </w:rPr>
      </w:pPr>
      <w:r>
        <w:rPr>
          <w:rFonts w:hint="eastAsia" w:ascii="宋体" w:hAnsi="宋体"/>
          <w:sz w:val="24"/>
        </w:rPr>
        <w:t>（二）标书编制的有关要求</w:t>
      </w:r>
    </w:p>
    <w:p w14:paraId="7EC13EFE">
      <w:pPr>
        <w:spacing w:line="400" w:lineRule="exact"/>
        <w:ind w:firstLine="420"/>
        <w:rPr>
          <w:rFonts w:ascii="宋体" w:hAnsi="宋体"/>
          <w:sz w:val="24"/>
        </w:rPr>
      </w:pPr>
      <w:r>
        <w:rPr>
          <w:rFonts w:hint="eastAsia" w:ascii="宋体" w:hAnsi="宋体"/>
          <w:sz w:val="24"/>
        </w:rPr>
        <w:t>1、投标人应充分分析市场的价格变动风险及本单位的承受能力，并不得低于成本报价。</w:t>
      </w:r>
    </w:p>
    <w:p w14:paraId="40FAC348">
      <w:pPr>
        <w:spacing w:line="400" w:lineRule="exact"/>
        <w:ind w:firstLine="420"/>
        <w:rPr>
          <w:rFonts w:ascii="宋体" w:hAnsi="宋体"/>
          <w:sz w:val="24"/>
        </w:rPr>
      </w:pPr>
      <w:r>
        <w:rPr>
          <w:rFonts w:hint="eastAsia" w:ascii="宋体" w:hAnsi="宋体"/>
          <w:sz w:val="24"/>
        </w:rPr>
        <w:t>2、报价依据</w:t>
      </w:r>
    </w:p>
    <w:p w14:paraId="6A4BCF64">
      <w:pPr>
        <w:spacing w:line="400" w:lineRule="exact"/>
        <w:ind w:firstLine="420"/>
        <w:rPr>
          <w:rFonts w:ascii="宋体" w:hAnsi="宋体"/>
          <w:sz w:val="24"/>
        </w:rPr>
      </w:pPr>
      <w:r>
        <w:rPr>
          <w:rFonts w:hint="eastAsia" w:ascii="宋体" w:hAnsi="宋体"/>
          <w:sz w:val="24"/>
        </w:rPr>
        <w:t>﹙1﹚投标人按市场价并结合企业自身实力、技术和资金能力，以及企业自身素质进行报价。</w:t>
      </w:r>
    </w:p>
    <w:p w14:paraId="118E7CB2">
      <w:pPr>
        <w:spacing w:line="400" w:lineRule="exact"/>
        <w:ind w:firstLine="420"/>
        <w:rPr>
          <w:rFonts w:ascii="宋体" w:hAnsi="宋体"/>
          <w:sz w:val="24"/>
        </w:rPr>
      </w:pPr>
      <w:r>
        <w:rPr>
          <w:rFonts w:hint="eastAsia" w:ascii="宋体" w:hAnsi="宋体"/>
          <w:sz w:val="24"/>
        </w:rPr>
        <w:t>﹙2﹚招标文件。</w:t>
      </w:r>
    </w:p>
    <w:p w14:paraId="08829B5E">
      <w:pPr>
        <w:spacing w:line="400" w:lineRule="exact"/>
        <w:ind w:firstLine="420"/>
        <w:rPr>
          <w:rFonts w:ascii="宋体" w:hAnsi="宋体"/>
          <w:sz w:val="24"/>
        </w:rPr>
      </w:pPr>
      <w:r>
        <w:rPr>
          <w:rFonts w:hint="eastAsia" w:ascii="宋体" w:hAnsi="宋体"/>
          <w:sz w:val="24"/>
        </w:rPr>
        <w:t>﹙3﹚市场竞争。</w:t>
      </w:r>
    </w:p>
    <w:p w14:paraId="3A98A87A">
      <w:pPr>
        <w:spacing w:line="400" w:lineRule="exact"/>
        <w:ind w:firstLine="420"/>
        <w:rPr>
          <w:rFonts w:ascii="宋体" w:hAnsi="宋体"/>
          <w:sz w:val="24"/>
        </w:rPr>
      </w:pPr>
      <w:r>
        <w:rPr>
          <w:rFonts w:hint="eastAsia" w:ascii="宋体" w:hAnsi="宋体"/>
          <w:sz w:val="24"/>
        </w:rPr>
        <w:t>﹙4﹚国家现行的技术规范和省市有关管理规定。</w:t>
      </w:r>
    </w:p>
    <w:p w14:paraId="368EBA39">
      <w:pPr>
        <w:spacing w:line="400" w:lineRule="exact"/>
        <w:ind w:firstLine="420"/>
        <w:rPr>
          <w:rFonts w:ascii="宋体" w:hAnsi="宋体"/>
          <w:b/>
          <w:sz w:val="24"/>
        </w:rPr>
      </w:pPr>
      <w:r>
        <w:rPr>
          <w:rFonts w:hint="eastAsia" w:ascii="宋体" w:hAnsi="宋体"/>
          <w:b/>
          <w:sz w:val="24"/>
        </w:rPr>
        <w:t>三、</w:t>
      </w:r>
      <w:r>
        <w:rPr>
          <w:rFonts w:hint="eastAsia" w:ascii="宋体" w:hAnsi="宋体"/>
          <w:b/>
          <w:sz w:val="24"/>
          <w:lang w:val="en-US" w:eastAsia="zh-CN"/>
        </w:rPr>
        <w:t>其他</w:t>
      </w:r>
      <w:r>
        <w:rPr>
          <w:rFonts w:hint="eastAsia" w:ascii="宋体" w:hAnsi="宋体"/>
          <w:b/>
          <w:sz w:val="24"/>
        </w:rPr>
        <w:t>要求</w:t>
      </w:r>
    </w:p>
    <w:p w14:paraId="7C2265D5">
      <w:pPr>
        <w:spacing w:line="360" w:lineRule="auto"/>
        <w:ind w:firstLine="480" w:firstLineChars="200"/>
        <w:rPr>
          <w:rFonts w:hint="eastAsia" w:ascii="宋体" w:hAnsi="宋体"/>
          <w:color w:val="000000"/>
          <w:sz w:val="24"/>
        </w:rPr>
      </w:pPr>
      <w:r>
        <w:rPr>
          <w:rFonts w:hint="eastAsia" w:ascii="宋体" w:hAnsi="宋体"/>
          <w:color w:val="000000"/>
          <w:sz w:val="24"/>
        </w:rPr>
        <w:t>供应商存在以下情形的，学院将其列入采购黑名单，三年内不得参加学院采购项目的投标工作。</w:t>
      </w:r>
    </w:p>
    <w:p w14:paraId="17C64DDE">
      <w:pPr>
        <w:spacing w:line="360" w:lineRule="auto"/>
        <w:ind w:firstLine="480" w:firstLineChars="200"/>
        <w:rPr>
          <w:rFonts w:hint="eastAsia" w:ascii="宋体" w:hAnsi="宋体"/>
          <w:color w:val="000000"/>
          <w:sz w:val="24"/>
        </w:rPr>
      </w:pPr>
      <w:r>
        <w:rPr>
          <w:rFonts w:hint="eastAsia" w:ascii="宋体" w:hAnsi="宋体"/>
          <w:color w:val="000000"/>
          <w:sz w:val="24"/>
        </w:rPr>
        <w:t>（1）向评标成员行贿或者提供其他不正当利益；</w:t>
      </w:r>
    </w:p>
    <w:p w14:paraId="717C3BEA">
      <w:pPr>
        <w:spacing w:line="360" w:lineRule="auto"/>
        <w:ind w:firstLine="480" w:firstLineChars="200"/>
        <w:rPr>
          <w:rFonts w:hint="eastAsia" w:ascii="宋体" w:hAnsi="宋体"/>
          <w:color w:val="000000"/>
          <w:sz w:val="24"/>
        </w:rPr>
      </w:pPr>
      <w:r>
        <w:rPr>
          <w:rFonts w:hint="eastAsia" w:ascii="宋体" w:hAnsi="宋体"/>
          <w:color w:val="000000"/>
          <w:sz w:val="24"/>
        </w:rPr>
        <w:t>（2）中标或者成交后无正当理由拒不签订合同;</w:t>
      </w:r>
    </w:p>
    <w:p w14:paraId="48899A77">
      <w:pPr>
        <w:spacing w:line="360" w:lineRule="auto"/>
        <w:ind w:firstLine="480" w:firstLineChars="200"/>
        <w:rPr>
          <w:rFonts w:hint="eastAsia" w:ascii="宋体" w:hAnsi="宋体"/>
          <w:color w:val="000000"/>
          <w:sz w:val="24"/>
        </w:rPr>
      </w:pPr>
      <w:r>
        <w:rPr>
          <w:rFonts w:hint="eastAsia" w:ascii="宋体" w:hAnsi="宋体"/>
          <w:color w:val="000000"/>
          <w:sz w:val="24"/>
        </w:rPr>
        <w:t>（3）未按照采购文件确定的事项签订合同;</w:t>
      </w:r>
    </w:p>
    <w:p w14:paraId="2D37523F">
      <w:pPr>
        <w:spacing w:line="360" w:lineRule="auto"/>
        <w:ind w:firstLine="480" w:firstLineChars="200"/>
        <w:rPr>
          <w:rFonts w:hint="eastAsia" w:ascii="宋体" w:hAnsi="宋体"/>
          <w:color w:val="000000"/>
          <w:sz w:val="24"/>
        </w:rPr>
      </w:pPr>
      <w:r>
        <w:rPr>
          <w:rFonts w:hint="eastAsia" w:ascii="宋体" w:hAnsi="宋体"/>
          <w:color w:val="000000"/>
          <w:sz w:val="24"/>
        </w:rPr>
        <w:t>（4）将采购合同转包;</w:t>
      </w:r>
    </w:p>
    <w:p w14:paraId="0B56B4D0">
      <w:pPr>
        <w:spacing w:line="360" w:lineRule="auto"/>
        <w:ind w:firstLine="480" w:firstLineChars="200"/>
        <w:rPr>
          <w:rFonts w:hint="eastAsia" w:ascii="宋体" w:hAnsi="宋体"/>
          <w:color w:val="000000"/>
          <w:sz w:val="24"/>
        </w:rPr>
      </w:pPr>
      <w:r>
        <w:rPr>
          <w:rFonts w:hint="eastAsia" w:ascii="宋体" w:hAnsi="宋体"/>
          <w:color w:val="000000"/>
          <w:sz w:val="24"/>
        </w:rPr>
        <w:t>（5）提供假冒伪劣产品;</w:t>
      </w:r>
    </w:p>
    <w:p w14:paraId="3F149B73">
      <w:pPr>
        <w:spacing w:line="360" w:lineRule="auto"/>
        <w:ind w:firstLine="480" w:firstLineChars="200"/>
        <w:rPr>
          <w:rFonts w:hint="eastAsia" w:ascii="宋体" w:hAnsi="宋体"/>
          <w:color w:val="000000"/>
          <w:sz w:val="24"/>
        </w:rPr>
      </w:pPr>
      <w:r>
        <w:rPr>
          <w:rFonts w:hint="eastAsia" w:ascii="宋体" w:hAnsi="宋体"/>
          <w:color w:val="000000"/>
          <w:sz w:val="24"/>
        </w:rPr>
        <w:t>（6）擅自变更、中止或者终止合同。</w:t>
      </w:r>
    </w:p>
    <w:p w14:paraId="6D1770BE">
      <w:pPr>
        <w:spacing w:line="360" w:lineRule="auto"/>
        <w:ind w:firstLine="480" w:firstLineChars="200"/>
        <w:rPr>
          <w:rFonts w:hint="eastAsia" w:ascii="宋体" w:hAnsi="宋体"/>
          <w:color w:val="000000"/>
          <w:sz w:val="24"/>
        </w:rPr>
      </w:pPr>
      <w:r>
        <w:rPr>
          <w:rFonts w:hint="eastAsia" w:ascii="宋体" w:hAnsi="宋体"/>
          <w:color w:val="000000"/>
          <w:sz w:val="24"/>
        </w:rPr>
        <w:t>（7）提供虚假材料谋取中标、成交的;</w:t>
      </w:r>
    </w:p>
    <w:p w14:paraId="083264D9">
      <w:pPr>
        <w:spacing w:line="360" w:lineRule="auto"/>
        <w:ind w:firstLine="480" w:firstLineChars="200"/>
        <w:rPr>
          <w:rFonts w:hint="eastAsia" w:ascii="宋体" w:hAnsi="宋体"/>
          <w:bCs/>
          <w:sz w:val="24"/>
        </w:rPr>
      </w:pPr>
      <w:r>
        <w:rPr>
          <w:rFonts w:hint="eastAsia" w:ascii="宋体" w:hAnsi="宋体"/>
          <w:color w:val="000000"/>
          <w:sz w:val="24"/>
        </w:rPr>
        <w:t>（8）串标、围标谋取中标、成交的。</w:t>
      </w:r>
    </w:p>
    <w:p w14:paraId="5A83AFAB">
      <w:pPr>
        <w:spacing w:line="400" w:lineRule="exact"/>
        <w:ind w:firstLine="420"/>
        <w:rPr>
          <w:rFonts w:ascii="宋体" w:hAnsi="宋体"/>
          <w:b/>
          <w:sz w:val="24"/>
        </w:rPr>
      </w:pPr>
      <w:r>
        <w:rPr>
          <w:rFonts w:hint="eastAsia" w:ascii="宋体" w:hAnsi="宋体"/>
          <w:b/>
          <w:sz w:val="24"/>
        </w:rPr>
        <w:t>四、项目支付</w:t>
      </w:r>
      <w:r>
        <w:rPr>
          <w:rFonts w:ascii="宋体" w:hAnsi="宋体"/>
          <w:b/>
          <w:sz w:val="24"/>
        </w:rPr>
        <w:t>方式</w:t>
      </w:r>
    </w:p>
    <w:p w14:paraId="0492F8B8">
      <w:pPr>
        <w:spacing w:line="400" w:lineRule="exact"/>
        <w:ind w:firstLine="420"/>
        <w:rPr>
          <w:rFonts w:ascii="宋体" w:hAnsi="宋体"/>
          <w:sz w:val="24"/>
        </w:rPr>
      </w:pPr>
      <w:r>
        <w:rPr>
          <w:rFonts w:hint="eastAsia" w:ascii="宋体" w:hAnsi="宋体"/>
          <w:sz w:val="24"/>
        </w:rPr>
        <w:t>第一部分为预付款部分：合同签订后5天内中标(成交)供应商向采购人提供有效发票后10个工作日内，采购人将按合同金额的30%作为预付款，支付给中标(成交)供应商。第二部分为月结款部分：余下的70%合同金额将按月结形式，在当月服务结束并收到中标(成交)供应商提供的有效发票后，采购人将在10个工作日内支付给中标(成交)供应商。</w:t>
      </w:r>
    </w:p>
    <w:p w14:paraId="4BD6AD8C">
      <w:pPr>
        <w:snapToGrid w:val="0"/>
        <w:spacing w:line="400" w:lineRule="exact"/>
        <w:ind w:firstLine="420"/>
        <w:rPr>
          <w:rFonts w:ascii="宋体" w:hAnsi="宋体"/>
          <w:b/>
          <w:sz w:val="24"/>
        </w:rPr>
      </w:pPr>
      <w:r>
        <w:rPr>
          <w:rFonts w:hint="eastAsia" w:ascii="宋体" w:hAnsi="宋体"/>
          <w:b/>
          <w:sz w:val="24"/>
        </w:rPr>
        <w:t>五、违约责任：</w:t>
      </w:r>
    </w:p>
    <w:p w14:paraId="6B2AA0CD">
      <w:pPr>
        <w:spacing w:line="400" w:lineRule="exact"/>
        <w:ind w:firstLine="420"/>
        <w:rPr>
          <w:rFonts w:ascii="宋体" w:hAnsi="宋体"/>
          <w:bCs/>
          <w:sz w:val="24"/>
        </w:rPr>
      </w:pPr>
      <w:r>
        <w:rPr>
          <w:rFonts w:hint="eastAsia" w:ascii="宋体" w:hAnsi="宋体"/>
          <w:bCs/>
          <w:sz w:val="24"/>
        </w:rPr>
        <w:t xml:space="preserve">1.采购人逾期支付服务费的，每逾期一天，采购人向乙方偿付欠款总额千分之五的滞纳金，累计滞纳金总额不超过欠款总额的百分之五。 </w:t>
      </w:r>
    </w:p>
    <w:p w14:paraId="1ED2A2A0">
      <w:pPr>
        <w:spacing w:line="400" w:lineRule="exact"/>
        <w:ind w:firstLine="420"/>
        <w:rPr>
          <w:rFonts w:ascii="宋体" w:hAnsi="宋体"/>
          <w:bCs/>
          <w:sz w:val="24"/>
        </w:rPr>
      </w:pPr>
      <w:r>
        <w:rPr>
          <w:rFonts w:hint="eastAsia" w:ascii="宋体" w:hAnsi="宋体"/>
          <w:bCs/>
          <w:sz w:val="24"/>
        </w:rPr>
        <w:t xml:space="preserve">2.乙方所提供的服务不符合合同规定的，采购人有权要求乙方在合理时间内对服务进行改进，规定时间内改进结果无法得到采购人满意时，乙方向采购人支付服务费总值百分之五的违约金。 </w:t>
      </w:r>
    </w:p>
    <w:p w14:paraId="239FA1B7">
      <w:pPr>
        <w:spacing w:line="400" w:lineRule="exact"/>
        <w:ind w:firstLine="420"/>
        <w:rPr>
          <w:rFonts w:ascii="宋体" w:hAnsi="宋体"/>
          <w:bCs/>
          <w:sz w:val="24"/>
        </w:rPr>
      </w:pPr>
      <w:r>
        <w:rPr>
          <w:rFonts w:hint="eastAsia" w:ascii="宋体" w:hAnsi="宋体"/>
          <w:bCs/>
          <w:sz w:val="24"/>
        </w:rPr>
        <w:t>3.乙方逾期提供服务的，每逾期一天，乙方向采购人偿付逾期提供服务部分费用总额千分之五的滞纳金，累计滞纳金总额不超过逾期提供的服务部分费用总额的百分之五。逾期提供服务超过十天，采购人有权终止合同。</w:t>
      </w:r>
    </w:p>
    <w:p w14:paraId="6886B921">
      <w:pPr>
        <w:spacing w:line="400" w:lineRule="exact"/>
        <w:ind w:firstLine="420"/>
        <w:rPr>
          <w:rFonts w:ascii="宋体" w:hAnsi="宋体"/>
          <w:b/>
          <w:sz w:val="24"/>
        </w:rPr>
      </w:pPr>
      <w:r>
        <w:rPr>
          <w:rFonts w:hint="eastAsia" w:ascii="宋体" w:hAnsi="宋体"/>
          <w:b/>
          <w:sz w:val="24"/>
          <w:lang w:val="en-US" w:eastAsia="zh-CN"/>
        </w:rPr>
        <w:t>六</w:t>
      </w:r>
      <w:r>
        <w:rPr>
          <w:rFonts w:hint="eastAsia" w:ascii="宋体" w:hAnsi="宋体"/>
          <w:b/>
          <w:sz w:val="24"/>
        </w:rPr>
        <w:t>、评审方法</w:t>
      </w:r>
    </w:p>
    <w:p w14:paraId="6BCB9784">
      <w:pPr>
        <w:snapToGrid w:val="0"/>
        <w:spacing w:line="400" w:lineRule="exact"/>
        <w:ind w:firstLine="420"/>
        <w:rPr>
          <w:rFonts w:ascii="宋体" w:hAnsi="宋体"/>
          <w:sz w:val="24"/>
        </w:rPr>
      </w:pPr>
      <w:r>
        <w:rPr>
          <w:rFonts w:hint="eastAsia" w:ascii="宋体" w:hAnsi="宋体"/>
          <w:sz w:val="24"/>
        </w:rPr>
        <w:t>（一）评审依据</w:t>
      </w:r>
    </w:p>
    <w:p w14:paraId="2C7FA249">
      <w:pPr>
        <w:snapToGrid w:val="0"/>
        <w:spacing w:line="400" w:lineRule="exact"/>
        <w:ind w:firstLine="420"/>
        <w:rPr>
          <w:rFonts w:ascii="宋体" w:hAnsi="宋体"/>
          <w:sz w:val="24"/>
        </w:rPr>
      </w:pPr>
      <w:r>
        <w:rPr>
          <w:rFonts w:hint="eastAsia" w:ascii="宋体" w:hAnsi="宋体"/>
          <w:sz w:val="24"/>
        </w:rPr>
        <w:t>评审工作依据国家及省、市颁布的有关法律、法规和广东省粤东技师学院关于采购管理的有关规定。</w:t>
      </w:r>
    </w:p>
    <w:p w14:paraId="4505134B">
      <w:pPr>
        <w:spacing w:line="400" w:lineRule="exact"/>
        <w:ind w:firstLine="480" w:firstLineChars="200"/>
        <w:rPr>
          <w:rFonts w:ascii="宋体" w:hAnsi="宋体"/>
          <w:sz w:val="24"/>
        </w:rPr>
      </w:pPr>
      <w:bookmarkStart w:id="0" w:name="_Hlt98173565"/>
      <w:bookmarkEnd w:id="0"/>
      <w:bookmarkStart w:id="1" w:name="_Toc402856446"/>
      <w:r>
        <w:rPr>
          <w:rFonts w:hint="eastAsia" w:ascii="宋体" w:hAnsi="宋体"/>
          <w:sz w:val="24"/>
        </w:rPr>
        <w:t>（二）评审方法</w:t>
      </w:r>
    </w:p>
    <w:p w14:paraId="5B4D84D1">
      <w:pPr>
        <w:spacing w:line="400" w:lineRule="exact"/>
        <w:ind w:firstLine="480" w:firstLineChars="200"/>
        <w:rPr>
          <w:rFonts w:ascii="宋体" w:hAnsi="宋体"/>
          <w:sz w:val="24"/>
        </w:rPr>
      </w:pPr>
      <w:r>
        <w:rPr>
          <w:rFonts w:hint="eastAsia" w:ascii="宋体" w:hAnsi="宋体"/>
          <w:sz w:val="24"/>
        </w:rPr>
        <w:t>1. 由广东省粤东技师学院组成评标委员会首先对投标人的投标文件按招标文件的规定进行有效性的审查，无效投标文件不得进入下一程序。有效投标文件必须三家或三家以上，否则重新招标。</w:t>
      </w:r>
    </w:p>
    <w:p w14:paraId="0797CF89">
      <w:pPr>
        <w:spacing w:line="400" w:lineRule="exact"/>
        <w:ind w:firstLine="480" w:firstLineChars="200"/>
        <w:rPr>
          <w:rFonts w:ascii="宋体" w:hAnsi="宋体"/>
          <w:sz w:val="24"/>
        </w:rPr>
      </w:pPr>
      <w:r>
        <w:rPr>
          <w:rFonts w:hint="eastAsia" w:ascii="宋体" w:hAnsi="宋体"/>
          <w:sz w:val="24"/>
        </w:rPr>
        <w:t>2. 本项目采用以下评标办法确定中标人：采用综合评分法。供应商能完全响应招标文件的前提下，综合评分最高的供应商为中标单位。</w:t>
      </w:r>
    </w:p>
    <w:bookmarkEnd w:id="1"/>
    <w:p w14:paraId="76DD9DC5">
      <w:pPr>
        <w:spacing w:line="400" w:lineRule="exact"/>
        <w:ind w:firstLine="480" w:firstLineChars="200"/>
        <w:rPr>
          <w:rFonts w:ascii="宋体" w:hAnsi="宋体"/>
          <w:sz w:val="24"/>
        </w:rPr>
      </w:pPr>
      <w:r>
        <w:rPr>
          <w:rFonts w:hint="eastAsia" w:ascii="宋体" w:hAnsi="宋体"/>
          <w:sz w:val="24"/>
        </w:rPr>
        <w:t>评分标准和细则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14:paraId="38FF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7A4DDF0E">
            <w:pPr>
              <w:adjustRightInd w:val="0"/>
              <w:snapToGrid w:val="0"/>
              <w:jc w:val="center"/>
              <w:rPr>
                <w:rFonts w:ascii="宋体" w:hAnsi="宋体" w:cs="宋体"/>
                <w:sz w:val="24"/>
              </w:rPr>
            </w:pPr>
            <w:r>
              <w:rPr>
                <w:rFonts w:hint="eastAsia" w:ascii="宋体" w:hAnsi="宋体" w:cs="宋体"/>
                <w:sz w:val="24"/>
              </w:rPr>
              <w:t>评分因素</w:t>
            </w:r>
          </w:p>
        </w:tc>
        <w:tc>
          <w:tcPr>
            <w:tcW w:w="4786" w:type="dxa"/>
            <w:noWrap/>
            <w:vAlign w:val="center"/>
          </w:tcPr>
          <w:p w14:paraId="59210CE9">
            <w:pPr>
              <w:adjustRightInd w:val="0"/>
              <w:snapToGrid w:val="0"/>
              <w:jc w:val="center"/>
              <w:rPr>
                <w:rFonts w:ascii="宋体" w:hAnsi="宋体" w:cs="宋体"/>
                <w:sz w:val="24"/>
              </w:rPr>
            </w:pPr>
            <w:r>
              <w:rPr>
                <w:rFonts w:hint="eastAsia" w:ascii="宋体" w:hAnsi="宋体" w:cs="宋体"/>
                <w:sz w:val="24"/>
              </w:rPr>
              <w:t>分值</w:t>
            </w:r>
          </w:p>
        </w:tc>
      </w:tr>
      <w:tr w14:paraId="52C8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594F8F43">
            <w:pPr>
              <w:adjustRightInd w:val="0"/>
              <w:snapToGrid w:val="0"/>
              <w:jc w:val="center"/>
              <w:rPr>
                <w:rFonts w:ascii="宋体" w:hAnsi="宋体" w:cs="宋体"/>
                <w:sz w:val="24"/>
              </w:rPr>
            </w:pPr>
            <w:r>
              <w:rPr>
                <w:rFonts w:hint="eastAsia" w:ascii="宋体" w:hAnsi="宋体" w:cs="宋体"/>
                <w:sz w:val="24"/>
              </w:rPr>
              <w:t>1、商务</w:t>
            </w:r>
          </w:p>
        </w:tc>
        <w:tc>
          <w:tcPr>
            <w:tcW w:w="4786" w:type="dxa"/>
            <w:noWrap/>
            <w:vAlign w:val="center"/>
          </w:tcPr>
          <w:p w14:paraId="2E2B993B">
            <w:pPr>
              <w:adjustRightInd w:val="0"/>
              <w:snapToGrid w:val="0"/>
              <w:jc w:val="center"/>
              <w:rPr>
                <w:rFonts w:ascii="宋体" w:hAnsi="宋体" w:cs="宋体"/>
                <w:sz w:val="24"/>
              </w:rPr>
            </w:pPr>
            <w:r>
              <w:rPr>
                <w:rFonts w:hint="eastAsia" w:ascii="宋体" w:hAnsi="宋体" w:cs="宋体"/>
                <w:sz w:val="24"/>
              </w:rPr>
              <w:t>40分</w:t>
            </w:r>
          </w:p>
        </w:tc>
      </w:tr>
      <w:tr w14:paraId="1B5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0D51F159">
            <w:pPr>
              <w:adjustRightInd w:val="0"/>
              <w:snapToGrid w:val="0"/>
              <w:jc w:val="center"/>
              <w:rPr>
                <w:rFonts w:ascii="宋体" w:hAnsi="宋体" w:cs="宋体"/>
                <w:sz w:val="24"/>
              </w:rPr>
            </w:pPr>
            <w:r>
              <w:rPr>
                <w:rFonts w:hint="eastAsia" w:ascii="宋体" w:hAnsi="宋体" w:cs="宋体"/>
                <w:sz w:val="24"/>
              </w:rPr>
              <w:t>2、技术</w:t>
            </w:r>
          </w:p>
        </w:tc>
        <w:tc>
          <w:tcPr>
            <w:tcW w:w="4786" w:type="dxa"/>
            <w:noWrap/>
            <w:vAlign w:val="center"/>
          </w:tcPr>
          <w:p w14:paraId="4FD68783">
            <w:pPr>
              <w:adjustRightInd w:val="0"/>
              <w:snapToGrid w:val="0"/>
              <w:jc w:val="center"/>
              <w:rPr>
                <w:rFonts w:ascii="宋体" w:hAnsi="宋体" w:cs="宋体"/>
                <w:sz w:val="24"/>
              </w:rPr>
            </w:pPr>
            <w:r>
              <w:rPr>
                <w:rFonts w:hint="eastAsia" w:ascii="宋体" w:hAnsi="宋体" w:cs="宋体"/>
                <w:sz w:val="24"/>
              </w:rPr>
              <w:t>30分</w:t>
            </w:r>
          </w:p>
        </w:tc>
      </w:tr>
      <w:tr w14:paraId="2461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14:paraId="2897BB73">
            <w:pPr>
              <w:adjustRightInd w:val="0"/>
              <w:snapToGrid w:val="0"/>
              <w:jc w:val="center"/>
              <w:rPr>
                <w:rFonts w:ascii="宋体" w:hAnsi="宋体" w:cs="宋体"/>
                <w:sz w:val="24"/>
              </w:rPr>
            </w:pPr>
            <w:r>
              <w:rPr>
                <w:rFonts w:hint="eastAsia" w:ascii="宋体" w:hAnsi="宋体" w:cs="宋体"/>
                <w:sz w:val="24"/>
              </w:rPr>
              <w:t>3、价格</w:t>
            </w:r>
          </w:p>
        </w:tc>
        <w:tc>
          <w:tcPr>
            <w:tcW w:w="4786" w:type="dxa"/>
            <w:noWrap/>
            <w:vAlign w:val="center"/>
          </w:tcPr>
          <w:p w14:paraId="6560C725">
            <w:pPr>
              <w:adjustRightInd w:val="0"/>
              <w:snapToGrid w:val="0"/>
              <w:jc w:val="center"/>
              <w:rPr>
                <w:rFonts w:ascii="宋体" w:hAnsi="宋体" w:cs="宋体"/>
                <w:sz w:val="24"/>
              </w:rPr>
            </w:pPr>
            <w:r>
              <w:rPr>
                <w:rFonts w:ascii="宋体" w:hAnsi="宋体" w:cs="宋体"/>
                <w:sz w:val="24"/>
              </w:rPr>
              <w:t>3</w:t>
            </w:r>
            <w:r>
              <w:rPr>
                <w:rFonts w:hint="eastAsia" w:ascii="宋体" w:hAnsi="宋体" w:cs="宋体"/>
                <w:sz w:val="24"/>
              </w:rPr>
              <w:t>0分</w:t>
            </w:r>
          </w:p>
        </w:tc>
      </w:tr>
    </w:tbl>
    <w:p w14:paraId="33472799">
      <w:pPr>
        <w:spacing w:line="400" w:lineRule="exact"/>
        <w:rPr>
          <w:rFonts w:ascii="宋体" w:hAnsi="宋体"/>
          <w:sz w:val="24"/>
        </w:rPr>
      </w:pPr>
      <w:r>
        <w:rPr>
          <w:rFonts w:hint="eastAsia" w:ascii="宋体" w:hAnsi="宋体"/>
          <w:sz w:val="24"/>
        </w:rPr>
        <w:t>（1）商务评分：40分</w:t>
      </w:r>
    </w:p>
    <w:tbl>
      <w:tblPr>
        <w:tblStyle w:val="1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41"/>
        <w:gridCol w:w="5966"/>
        <w:gridCol w:w="892"/>
      </w:tblGrid>
      <w:tr w14:paraId="38A6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8" w:type="dxa"/>
            <w:tcMar>
              <w:top w:w="85" w:type="dxa"/>
              <w:bottom w:w="85" w:type="dxa"/>
            </w:tcMar>
            <w:vAlign w:val="center"/>
          </w:tcPr>
          <w:p w14:paraId="63E5862C">
            <w:pPr>
              <w:adjustRightInd w:val="0"/>
              <w:snapToGrid w:val="0"/>
              <w:jc w:val="center"/>
              <w:rPr>
                <w:rFonts w:ascii="宋体"/>
                <w:b/>
                <w:bCs/>
                <w:szCs w:val="21"/>
              </w:rPr>
            </w:pPr>
            <w:r>
              <w:rPr>
                <w:rFonts w:hint="eastAsia" w:ascii="宋体" w:hAnsi="宋体" w:cs="宋体"/>
                <w:b/>
                <w:bCs/>
                <w:szCs w:val="21"/>
              </w:rPr>
              <w:t>序号</w:t>
            </w:r>
          </w:p>
        </w:tc>
        <w:tc>
          <w:tcPr>
            <w:tcW w:w="2341" w:type="dxa"/>
            <w:tcMar>
              <w:top w:w="85" w:type="dxa"/>
              <w:bottom w:w="85" w:type="dxa"/>
            </w:tcMar>
            <w:vAlign w:val="center"/>
          </w:tcPr>
          <w:p w14:paraId="5E4A6744">
            <w:pPr>
              <w:adjustRightInd w:val="0"/>
              <w:snapToGrid w:val="0"/>
              <w:jc w:val="center"/>
              <w:rPr>
                <w:rFonts w:ascii="宋体"/>
                <w:b/>
                <w:bCs/>
                <w:szCs w:val="21"/>
              </w:rPr>
            </w:pPr>
            <w:r>
              <w:rPr>
                <w:rFonts w:hint="eastAsia" w:ascii="宋体" w:hAnsi="宋体" w:cs="宋体"/>
                <w:b/>
                <w:bCs/>
                <w:szCs w:val="21"/>
              </w:rPr>
              <w:t>评审项目</w:t>
            </w:r>
          </w:p>
        </w:tc>
        <w:tc>
          <w:tcPr>
            <w:tcW w:w="5966" w:type="dxa"/>
            <w:tcMar>
              <w:top w:w="85" w:type="dxa"/>
              <w:bottom w:w="85" w:type="dxa"/>
            </w:tcMar>
            <w:vAlign w:val="center"/>
          </w:tcPr>
          <w:p w14:paraId="2D598F7F">
            <w:pPr>
              <w:adjustRightInd w:val="0"/>
              <w:snapToGrid w:val="0"/>
              <w:jc w:val="center"/>
              <w:rPr>
                <w:rFonts w:ascii="宋体"/>
                <w:b/>
                <w:bCs/>
                <w:szCs w:val="21"/>
              </w:rPr>
            </w:pPr>
            <w:r>
              <w:rPr>
                <w:rFonts w:hint="eastAsia" w:ascii="宋体" w:hAnsi="宋体" w:cs="宋体"/>
                <w:b/>
                <w:bCs/>
                <w:szCs w:val="21"/>
              </w:rPr>
              <w:t>评分范围</w:t>
            </w:r>
          </w:p>
        </w:tc>
        <w:tc>
          <w:tcPr>
            <w:tcW w:w="892" w:type="dxa"/>
            <w:tcMar>
              <w:top w:w="85" w:type="dxa"/>
              <w:bottom w:w="85" w:type="dxa"/>
            </w:tcMar>
            <w:vAlign w:val="center"/>
          </w:tcPr>
          <w:p w14:paraId="21717714">
            <w:pPr>
              <w:adjustRightInd w:val="0"/>
              <w:snapToGrid w:val="0"/>
              <w:jc w:val="center"/>
              <w:rPr>
                <w:rFonts w:ascii="宋体"/>
                <w:b/>
                <w:bCs/>
                <w:szCs w:val="21"/>
              </w:rPr>
            </w:pPr>
            <w:r>
              <w:rPr>
                <w:rFonts w:hint="eastAsia" w:ascii="宋体" w:hAnsi="宋体" w:cs="宋体"/>
                <w:b/>
                <w:bCs/>
                <w:szCs w:val="21"/>
              </w:rPr>
              <w:t>分值</w:t>
            </w:r>
          </w:p>
        </w:tc>
      </w:tr>
      <w:tr w14:paraId="2B69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18" w:type="dxa"/>
            <w:tcMar>
              <w:top w:w="85" w:type="dxa"/>
              <w:bottom w:w="85" w:type="dxa"/>
            </w:tcMar>
            <w:vAlign w:val="center"/>
          </w:tcPr>
          <w:p w14:paraId="7757D9AC">
            <w:pPr>
              <w:tabs>
                <w:tab w:val="left" w:pos="142"/>
              </w:tabs>
              <w:adjustRightInd w:val="0"/>
              <w:snapToGrid w:val="0"/>
              <w:jc w:val="center"/>
              <w:rPr>
                <w:rFonts w:ascii="宋体"/>
                <w:szCs w:val="21"/>
              </w:rPr>
            </w:pPr>
            <w:r>
              <w:rPr>
                <w:rFonts w:ascii="宋体" w:cs="宋体"/>
                <w:szCs w:val="21"/>
              </w:rPr>
              <w:t>1</w:t>
            </w:r>
          </w:p>
        </w:tc>
        <w:tc>
          <w:tcPr>
            <w:tcW w:w="2341" w:type="dxa"/>
            <w:tcMar>
              <w:top w:w="85" w:type="dxa"/>
              <w:bottom w:w="85" w:type="dxa"/>
            </w:tcMar>
            <w:vAlign w:val="center"/>
          </w:tcPr>
          <w:p w14:paraId="6AA2AEE9">
            <w:pPr>
              <w:widowControl/>
              <w:jc w:val="left"/>
              <w:rPr>
                <w:sz w:val="24"/>
              </w:rPr>
            </w:pPr>
            <w:r>
              <w:rPr>
                <w:rFonts w:hint="eastAsia" w:ascii="宋体" w:hAnsi="宋体" w:cs="宋体"/>
                <w:kern w:val="0"/>
                <w:sz w:val="24"/>
                <w:lang w:bidi="ar"/>
              </w:rPr>
              <w:t>企业业绩</w:t>
            </w:r>
            <w:r>
              <w:rPr>
                <w:rFonts w:ascii="DejaVuSans" w:hAnsi="DejaVuSans" w:eastAsia="DejaVuSans" w:cs="DejaVuSans"/>
                <w:kern w:val="0"/>
                <w:sz w:val="24"/>
                <w:lang w:bidi="ar"/>
              </w:rPr>
              <w:t>(</w:t>
            </w:r>
            <w:r>
              <w:rPr>
                <w:rFonts w:hint="eastAsia" w:ascii="DejaVuSans" w:hAnsi="DejaVuSans" w:cs="DejaVuSans"/>
                <w:kern w:val="0"/>
                <w:sz w:val="24"/>
                <w:lang w:val="en-US" w:eastAsia="zh-CN" w:bidi="ar"/>
              </w:rPr>
              <w:t>18</w:t>
            </w:r>
            <w:r>
              <w:rPr>
                <w:rFonts w:ascii="DejaVuSans" w:hAnsi="DejaVuSans" w:eastAsia="DejaVuSans" w:cs="DejaVuSans"/>
                <w:kern w:val="0"/>
                <w:sz w:val="24"/>
                <w:lang w:bidi="ar"/>
              </w:rPr>
              <w:t>.0</w:t>
            </w:r>
            <w:r>
              <w:rPr>
                <w:rFonts w:hint="eastAsia" w:ascii="宋体" w:hAnsi="宋体" w:cs="宋体"/>
                <w:kern w:val="0"/>
                <w:sz w:val="24"/>
                <w:lang w:bidi="ar"/>
              </w:rPr>
              <w:t>分</w:t>
            </w:r>
            <w:r>
              <w:rPr>
                <w:rFonts w:ascii="DejaVuSans" w:hAnsi="DejaVuSans" w:eastAsia="DejaVuSans" w:cs="DejaVuSans"/>
                <w:kern w:val="0"/>
                <w:sz w:val="24"/>
                <w:lang w:bidi="ar"/>
              </w:rPr>
              <w:t>)</w:t>
            </w:r>
          </w:p>
          <w:p w14:paraId="27B1E6EC">
            <w:pPr>
              <w:adjustRightInd w:val="0"/>
              <w:snapToGrid w:val="0"/>
              <w:jc w:val="center"/>
              <w:rPr>
                <w:rFonts w:ascii="宋体"/>
                <w:sz w:val="24"/>
              </w:rPr>
            </w:pPr>
          </w:p>
        </w:tc>
        <w:tc>
          <w:tcPr>
            <w:tcW w:w="5966" w:type="dxa"/>
            <w:tcMar>
              <w:top w:w="85" w:type="dxa"/>
              <w:bottom w:w="85" w:type="dxa"/>
            </w:tcMar>
            <w:vAlign w:val="center"/>
          </w:tcPr>
          <w:p w14:paraId="2C378788">
            <w:pPr>
              <w:rPr>
                <w:rFonts w:hint="eastAsia" w:ascii="宋体" w:hAnsi="宋体" w:eastAsia="宋体"/>
                <w:sz w:val="24"/>
                <w:lang w:eastAsia="zh-CN"/>
              </w:rPr>
            </w:pPr>
            <w:r>
              <w:rPr>
                <w:rFonts w:hint="eastAsia" w:ascii="宋体" w:hAnsi="宋体"/>
                <w:sz w:val="24"/>
              </w:rPr>
              <w:t>投标人2022年1月1日至今承接的物业管理(须包含清洁保洁)或清洁保洁服务项目业绩，每提供一个有效的项目业绩得</w:t>
            </w:r>
            <w:r>
              <w:rPr>
                <w:rFonts w:hint="eastAsia" w:ascii="宋体" w:hAnsi="宋体"/>
                <w:sz w:val="24"/>
                <w:highlight w:val="none"/>
              </w:rPr>
              <w:t>2</w:t>
            </w:r>
            <w:r>
              <w:rPr>
                <w:rFonts w:hint="eastAsia" w:ascii="宋体" w:hAnsi="宋体"/>
                <w:sz w:val="24"/>
              </w:rPr>
              <w:t>分，合计最高得</w:t>
            </w:r>
            <w:r>
              <w:rPr>
                <w:rFonts w:hint="eastAsia" w:ascii="宋体" w:hAnsi="宋体"/>
                <w:sz w:val="24"/>
                <w:lang w:val="en-US" w:eastAsia="zh-CN"/>
              </w:rPr>
              <w:t>18</w:t>
            </w:r>
            <w:r>
              <w:rPr>
                <w:rFonts w:hint="eastAsia" w:ascii="宋体" w:hAnsi="宋体"/>
                <w:sz w:val="24"/>
              </w:rPr>
              <w:t>分。</w:t>
            </w:r>
            <w:r>
              <w:rPr>
                <w:rFonts w:hint="eastAsia" w:ascii="宋体" w:hAnsi="宋体"/>
                <w:sz w:val="24"/>
                <w:lang w:eastAsia="zh-CN"/>
              </w:rPr>
              <w:t>（</w:t>
            </w:r>
            <w:r>
              <w:rPr>
                <w:rFonts w:hint="eastAsia" w:ascii="宋体" w:hAnsi="宋体"/>
                <w:sz w:val="24"/>
              </w:rPr>
              <w:t>注1:业绩时间以合同签订时间为准。2:须提供合同关键页复印件(合同关键页包括:合同封面、服务内容页及双方签章页;并加盖投标人公章)。3:同一项目不同年份的合同按一份业绩计算，不重复计算业绩分数。同一业主在同一招标采购项目中续签的合同不重复计分。</w:t>
            </w:r>
            <w:r>
              <w:rPr>
                <w:rFonts w:hint="eastAsia" w:ascii="宋体" w:hAnsi="宋体"/>
                <w:sz w:val="24"/>
                <w:lang w:eastAsia="zh-CN"/>
              </w:rPr>
              <w:t>）</w:t>
            </w:r>
          </w:p>
        </w:tc>
        <w:tc>
          <w:tcPr>
            <w:tcW w:w="892" w:type="dxa"/>
            <w:tcMar>
              <w:top w:w="85" w:type="dxa"/>
              <w:bottom w:w="85" w:type="dxa"/>
            </w:tcMar>
            <w:vAlign w:val="center"/>
          </w:tcPr>
          <w:p w14:paraId="488AC5F1">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18</w:t>
            </w:r>
          </w:p>
        </w:tc>
      </w:tr>
      <w:tr w14:paraId="11D8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18" w:type="dxa"/>
            <w:tcMar>
              <w:top w:w="85" w:type="dxa"/>
              <w:bottom w:w="85" w:type="dxa"/>
            </w:tcMar>
            <w:vAlign w:val="center"/>
          </w:tcPr>
          <w:p w14:paraId="3AA32E7D">
            <w:pPr>
              <w:tabs>
                <w:tab w:val="left" w:pos="142"/>
              </w:tabs>
              <w:adjustRightInd w:val="0"/>
              <w:snapToGrid w:val="0"/>
              <w:jc w:val="center"/>
              <w:rPr>
                <w:rFonts w:ascii="宋体"/>
                <w:szCs w:val="21"/>
              </w:rPr>
            </w:pPr>
            <w:r>
              <w:rPr>
                <w:rFonts w:ascii="宋体" w:cs="宋体"/>
                <w:szCs w:val="21"/>
              </w:rPr>
              <w:t>2</w:t>
            </w:r>
          </w:p>
        </w:tc>
        <w:tc>
          <w:tcPr>
            <w:tcW w:w="2341" w:type="dxa"/>
            <w:tcMar>
              <w:top w:w="85" w:type="dxa"/>
              <w:bottom w:w="85" w:type="dxa"/>
            </w:tcMar>
            <w:vAlign w:val="center"/>
          </w:tcPr>
          <w:p w14:paraId="79457444">
            <w:pPr>
              <w:widowControl/>
              <w:jc w:val="left"/>
              <w:rPr>
                <w:sz w:val="24"/>
              </w:rPr>
            </w:pPr>
            <w:r>
              <w:rPr>
                <w:rFonts w:hint="eastAsia" w:ascii="宋体" w:hAnsi="宋体"/>
                <w:sz w:val="24"/>
              </w:rPr>
              <w:t>项目投标人及人员配备</w:t>
            </w:r>
            <w:r>
              <w:rPr>
                <w:rFonts w:ascii="DejaVuSans" w:hAnsi="DejaVuSans" w:eastAsia="DejaVuSans" w:cs="DejaVuSans"/>
                <w:kern w:val="0"/>
                <w:sz w:val="24"/>
                <w:lang w:bidi="ar"/>
              </w:rPr>
              <w:t>(</w:t>
            </w:r>
            <w:r>
              <w:rPr>
                <w:rFonts w:hint="eastAsia" w:ascii="DejaVuSans" w:hAnsi="DejaVuSans" w:cs="DejaVuSans"/>
                <w:kern w:val="0"/>
                <w:sz w:val="24"/>
                <w:lang w:bidi="ar"/>
              </w:rPr>
              <w:t>22</w:t>
            </w:r>
            <w:r>
              <w:rPr>
                <w:rFonts w:ascii="DejaVuSans" w:hAnsi="DejaVuSans" w:eastAsia="DejaVuSans" w:cs="DejaVuSans"/>
                <w:kern w:val="0"/>
                <w:sz w:val="24"/>
                <w:lang w:bidi="ar"/>
              </w:rPr>
              <w:t>.0</w:t>
            </w:r>
            <w:r>
              <w:rPr>
                <w:rFonts w:hint="eastAsia" w:ascii="宋体" w:hAnsi="宋体" w:cs="宋体"/>
                <w:kern w:val="0"/>
                <w:sz w:val="24"/>
                <w:lang w:bidi="ar"/>
              </w:rPr>
              <w:t>分</w:t>
            </w:r>
            <w:r>
              <w:rPr>
                <w:rFonts w:ascii="DejaVuSans" w:hAnsi="DejaVuSans" w:eastAsia="DejaVuSans" w:cs="DejaVuSans"/>
                <w:kern w:val="0"/>
                <w:sz w:val="24"/>
                <w:lang w:bidi="ar"/>
              </w:rPr>
              <w:t>)</w:t>
            </w:r>
          </w:p>
          <w:p w14:paraId="2E5BEE16">
            <w:pPr>
              <w:adjustRightInd w:val="0"/>
              <w:snapToGrid w:val="0"/>
              <w:jc w:val="center"/>
              <w:rPr>
                <w:rFonts w:ascii="宋体"/>
                <w:sz w:val="24"/>
              </w:rPr>
            </w:pPr>
          </w:p>
        </w:tc>
        <w:tc>
          <w:tcPr>
            <w:tcW w:w="5966" w:type="dxa"/>
            <w:tcMar>
              <w:top w:w="85" w:type="dxa"/>
              <w:bottom w:w="85" w:type="dxa"/>
            </w:tcMar>
            <w:vAlign w:val="center"/>
          </w:tcPr>
          <w:p w14:paraId="1E2E69CC">
            <w:pPr>
              <w:widowControl/>
              <w:numPr>
                <w:ilvl w:val="0"/>
                <w:numId w:val="1"/>
              </w:numPr>
              <w:jc w:val="left"/>
              <w:rPr>
                <w:rFonts w:ascii="宋体" w:hAnsi="宋体" w:cs="宋体"/>
                <w:kern w:val="0"/>
                <w:sz w:val="24"/>
                <w:lang w:bidi="ar"/>
              </w:rPr>
            </w:pPr>
            <w:r>
              <w:rPr>
                <w:rFonts w:hint="eastAsia" w:ascii="宋体" w:hAnsi="宋体" w:cs="宋体"/>
                <w:kern w:val="0"/>
                <w:sz w:val="24"/>
                <w:lang w:bidi="ar"/>
              </w:rPr>
              <w:t>拟投入的项目经理（仅一人）:</w:t>
            </w:r>
          </w:p>
          <w:p w14:paraId="24E20C73">
            <w:pPr>
              <w:widowControl/>
              <w:numPr>
                <w:ilvl w:val="0"/>
                <w:numId w:val="2"/>
              </w:numPr>
              <w:jc w:val="left"/>
              <w:rPr>
                <w:rFonts w:ascii="宋体" w:hAnsi="宋体" w:cs="宋体"/>
                <w:kern w:val="0"/>
                <w:sz w:val="24"/>
                <w:lang w:bidi="ar"/>
              </w:rPr>
            </w:pPr>
            <w:r>
              <w:rPr>
                <w:rFonts w:hint="eastAsia" w:ascii="宋体" w:hAnsi="宋体" w:cs="宋体"/>
                <w:kern w:val="0"/>
                <w:sz w:val="24"/>
                <w:lang w:bidi="ar"/>
              </w:rPr>
              <w:t>具有本科、预备技师或以上学历的得3分</w:t>
            </w:r>
            <w:r>
              <w:rPr>
                <w:rFonts w:hint="eastAsia" w:ascii="宋体" w:hAnsi="宋体" w:cs="宋体"/>
                <w:kern w:val="0"/>
                <w:sz w:val="24"/>
                <w:lang w:eastAsia="zh-CN" w:bidi="ar"/>
              </w:rPr>
              <w:t>；</w:t>
            </w:r>
            <w:r>
              <w:rPr>
                <w:rFonts w:hint="eastAsia" w:ascii="宋体" w:hAnsi="宋体" w:cs="宋体"/>
                <w:kern w:val="0"/>
                <w:sz w:val="24"/>
                <w:lang w:bidi="ar"/>
              </w:rPr>
              <w:t>具有大专、高技学历的得2分</w:t>
            </w:r>
            <w:r>
              <w:rPr>
                <w:rFonts w:hint="eastAsia" w:ascii="宋体" w:hAnsi="宋体" w:cs="宋体"/>
                <w:kern w:val="0"/>
                <w:sz w:val="24"/>
                <w:lang w:eastAsia="zh-CN" w:bidi="ar"/>
              </w:rPr>
              <w:t>；</w:t>
            </w:r>
            <w:r>
              <w:rPr>
                <w:rFonts w:hint="eastAsia" w:ascii="宋体" w:hAnsi="宋体" w:cs="宋体"/>
                <w:kern w:val="0"/>
                <w:sz w:val="24"/>
                <w:lang w:bidi="ar"/>
              </w:rPr>
              <w:t>大专以下学历的不得分(提供学历证明文件)</w:t>
            </w:r>
            <w:r>
              <w:rPr>
                <w:rFonts w:hint="eastAsia" w:ascii="宋体" w:hAnsi="宋体" w:cs="宋体"/>
                <w:kern w:val="0"/>
                <w:sz w:val="24"/>
                <w:lang w:eastAsia="zh-CN" w:bidi="ar"/>
              </w:rPr>
              <w:t>，</w:t>
            </w:r>
            <w:r>
              <w:rPr>
                <w:rFonts w:hint="eastAsia" w:ascii="宋体" w:hAnsi="宋体" w:cs="宋体"/>
                <w:kern w:val="0"/>
                <w:sz w:val="24"/>
                <w:lang w:bidi="ar"/>
              </w:rPr>
              <w:t>此项最高得3分；</w:t>
            </w:r>
          </w:p>
          <w:p w14:paraId="22D879CC">
            <w:pPr>
              <w:widowControl/>
              <w:numPr>
                <w:ilvl w:val="0"/>
                <w:numId w:val="0"/>
              </w:numPr>
              <w:ind w:leftChars="0"/>
              <w:jc w:val="left"/>
              <w:rPr>
                <w:rFonts w:ascii="宋体" w:hAnsi="宋体" w:cs="宋体"/>
                <w:kern w:val="0"/>
                <w:sz w:val="24"/>
                <w:lang w:bidi="ar"/>
              </w:rPr>
            </w:pPr>
            <w:r>
              <w:rPr>
                <w:rFonts w:hint="eastAsia" w:ascii="宋体" w:hAnsi="宋体" w:cs="宋体"/>
                <w:kern w:val="0"/>
                <w:sz w:val="24"/>
                <w:lang w:bidi="ar"/>
              </w:rPr>
              <w:t>（</w:t>
            </w:r>
            <w:r>
              <w:rPr>
                <w:rFonts w:hint="eastAsia" w:ascii="宋体" w:hAnsi="宋体" w:cs="宋体"/>
                <w:kern w:val="0"/>
                <w:sz w:val="24"/>
                <w:lang w:val="en-US" w:eastAsia="zh-CN" w:bidi="ar"/>
              </w:rPr>
              <w:t>2</w:t>
            </w:r>
            <w:r>
              <w:rPr>
                <w:rFonts w:hint="eastAsia" w:ascii="宋体" w:hAnsi="宋体" w:cs="宋体"/>
                <w:kern w:val="0"/>
                <w:sz w:val="24"/>
                <w:lang w:bidi="ar"/>
              </w:rPr>
              <w:t>）从事物业管理</w:t>
            </w:r>
            <w:r>
              <w:rPr>
                <w:rFonts w:ascii="DejaVuSans" w:hAnsi="DejaVuSans" w:eastAsia="DejaVuSans" w:cs="DejaVuSans"/>
                <w:kern w:val="0"/>
                <w:sz w:val="24"/>
                <w:lang w:bidi="ar"/>
              </w:rPr>
              <w:t xml:space="preserve">3 </w:t>
            </w:r>
            <w:r>
              <w:rPr>
                <w:rFonts w:hint="eastAsia" w:ascii="宋体" w:hAnsi="宋体" w:cs="宋体"/>
                <w:kern w:val="0"/>
                <w:sz w:val="24"/>
                <w:lang w:bidi="ar"/>
              </w:rPr>
              <w:t>年（含）以上工作经验的得</w:t>
            </w:r>
            <w:r>
              <w:rPr>
                <w:rFonts w:hint="eastAsia" w:ascii="DejaVuSans" w:hAnsi="DejaVuSans" w:cs="DejaVuSans"/>
                <w:kern w:val="0"/>
                <w:sz w:val="24"/>
                <w:lang w:bidi="ar"/>
              </w:rPr>
              <w:t>3</w:t>
            </w:r>
            <w:r>
              <w:rPr>
                <w:rFonts w:hint="eastAsia" w:ascii="宋体" w:hAnsi="宋体" w:cs="宋体"/>
                <w:kern w:val="0"/>
                <w:sz w:val="24"/>
                <w:lang w:bidi="ar"/>
              </w:rPr>
              <w:t>分</w:t>
            </w:r>
            <w:r>
              <w:rPr>
                <w:rFonts w:hint="eastAsia" w:ascii="宋体" w:hAnsi="宋体" w:cs="宋体"/>
                <w:kern w:val="0"/>
                <w:sz w:val="24"/>
                <w:lang w:eastAsia="zh-CN" w:bidi="ar"/>
              </w:rPr>
              <w:t>；</w:t>
            </w:r>
            <w:r>
              <w:rPr>
                <w:rFonts w:ascii="DejaVuSans" w:hAnsi="DejaVuSans" w:eastAsia="DejaVuSans" w:cs="DejaVuSans"/>
                <w:kern w:val="0"/>
                <w:sz w:val="24"/>
                <w:lang w:bidi="ar"/>
              </w:rPr>
              <w:t>1</w:t>
            </w:r>
            <w:r>
              <w:rPr>
                <w:rFonts w:hint="eastAsia" w:ascii="宋体" w:hAnsi="宋体" w:cs="宋体"/>
                <w:kern w:val="0"/>
                <w:sz w:val="24"/>
                <w:lang w:bidi="ar"/>
              </w:rPr>
              <w:t>年（含）</w:t>
            </w:r>
            <w:r>
              <w:rPr>
                <w:rFonts w:ascii="DejaVuSans" w:hAnsi="DejaVuSans" w:eastAsia="DejaVuSans" w:cs="DejaVuSans"/>
                <w:kern w:val="0"/>
                <w:sz w:val="24"/>
                <w:lang w:bidi="ar"/>
              </w:rPr>
              <w:t>-3</w:t>
            </w:r>
            <w:r>
              <w:rPr>
                <w:rFonts w:hint="eastAsia" w:ascii="宋体" w:hAnsi="宋体" w:cs="宋体"/>
                <w:kern w:val="0"/>
                <w:sz w:val="24"/>
                <w:lang w:bidi="ar"/>
              </w:rPr>
              <w:t>年（不含）工作经验的得</w:t>
            </w:r>
            <w:r>
              <w:rPr>
                <w:rFonts w:hint="eastAsia" w:ascii="DejaVuSans" w:hAnsi="DejaVuSans" w:cs="DejaVuSans"/>
                <w:kern w:val="0"/>
                <w:sz w:val="24"/>
                <w:lang w:bidi="ar"/>
              </w:rPr>
              <w:t>1.5</w:t>
            </w:r>
            <w:r>
              <w:rPr>
                <w:rFonts w:hint="eastAsia" w:ascii="宋体" w:hAnsi="宋体" w:cs="宋体"/>
                <w:kern w:val="0"/>
                <w:sz w:val="24"/>
                <w:lang w:bidi="ar"/>
              </w:rPr>
              <w:t>分，此项最高得3分；</w:t>
            </w:r>
            <w:r>
              <w:rPr>
                <w:rFonts w:ascii="宋体" w:hAnsi="宋体" w:cs="宋体"/>
                <w:kern w:val="0"/>
                <w:sz w:val="24"/>
                <w:lang w:bidi="ar"/>
              </w:rPr>
              <w:t xml:space="preserve"> </w:t>
            </w:r>
          </w:p>
          <w:p w14:paraId="22C14FD4">
            <w:pPr>
              <w:widowControl/>
              <w:numPr>
                <w:ilvl w:val="0"/>
                <w:numId w:val="0"/>
              </w:numPr>
              <w:ind w:leftChars="0"/>
              <w:jc w:val="left"/>
              <w:rPr>
                <w:rFonts w:ascii="宋体" w:hAnsi="宋体" w:cs="宋体"/>
                <w:kern w:val="0"/>
                <w:sz w:val="24"/>
                <w:highlight w:val="none"/>
                <w:lang w:bidi="ar"/>
              </w:rPr>
            </w:pPr>
            <w:r>
              <w:rPr>
                <w:rFonts w:hint="eastAsia" w:ascii="宋体" w:hAnsi="宋体" w:cs="宋体"/>
                <w:kern w:val="0"/>
                <w:sz w:val="24"/>
                <w:highlight w:val="none"/>
                <w:lang w:val="en-US" w:eastAsia="zh-CN" w:bidi="ar"/>
              </w:rPr>
              <w:t>（3）具有政府部门</w:t>
            </w:r>
            <w:r>
              <w:rPr>
                <w:rFonts w:hint="eastAsia" w:ascii="宋体" w:hAnsi="宋体" w:cs="宋体"/>
                <w:kern w:val="0"/>
                <w:sz w:val="24"/>
                <w:highlight w:val="none"/>
                <w:lang w:bidi="ar"/>
              </w:rPr>
              <w:t>、物业管理行业协会颁发的物业管理企业经理、部门经理、项目经理和管理员岗位合格证书</w:t>
            </w:r>
            <w:r>
              <w:rPr>
                <w:rFonts w:hint="eastAsia" w:ascii="宋体" w:hAnsi="宋体" w:cs="宋体"/>
                <w:kern w:val="0"/>
                <w:sz w:val="24"/>
                <w:highlight w:val="none"/>
                <w:lang w:val="en-US" w:eastAsia="zh-CN" w:bidi="ar"/>
              </w:rPr>
              <w:t>的</w:t>
            </w:r>
            <w:r>
              <w:rPr>
                <w:rFonts w:hint="eastAsia" w:ascii="宋体" w:hAnsi="宋体" w:cs="宋体"/>
                <w:kern w:val="0"/>
                <w:sz w:val="24"/>
                <w:highlight w:val="none"/>
                <w:lang w:bidi="ar"/>
              </w:rPr>
              <w:t>得</w:t>
            </w:r>
            <w:r>
              <w:rPr>
                <w:rFonts w:hint="eastAsia" w:ascii="宋体" w:hAnsi="宋体" w:cs="宋体"/>
                <w:kern w:val="0"/>
                <w:sz w:val="24"/>
                <w:highlight w:val="none"/>
                <w:lang w:val="en-US" w:eastAsia="zh-CN" w:bidi="ar"/>
              </w:rPr>
              <w:t>3</w:t>
            </w:r>
            <w:r>
              <w:rPr>
                <w:rFonts w:hint="eastAsia" w:ascii="宋体" w:hAnsi="宋体" w:cs="宋体"/>
                <w:kern w:val="0"/>
                <w:sz w:val="24"/>
                <w:highlight w:val="none"/>
                <w:lang w:bidi="ar"/>
              </w:rPr>
              <w:t>分</w:t>
            </w:r>
            <w:r>
              <w:rPr>
                <w:rFonts w:hint="eastAsia" w:ascii="宋体" w:hAnsi="宋体" w:cs="宋体"/>
                <w:kern w:val="0"/>
                <w:sz w:val="24"/>
                <w:highlight w:val="none"/>
                <w:lang w:eastAsia="zh-CN" w:bidi="ar"/>
              </w:rPr>
              <w:t>，</w:t>
            </w:r>
            <w:r>
              <w:rPr>
                <w:rFonts w:hint="eastAsia" w:ascii="宋体" w:hAnsi="宋体" w:cs="宋体"/>
                <w:kern w:val="0"/>
                <w:sz w:val="24"/>
                <w:highlight w:val="none"/>
                <w:lang w:bidi="ar"/>
              </w:rPr>
              <w:t>此项最高得3分；</w:t>
            </w:r>
          </w:p>
          <w:p w14:paraId="20E6B4F6">
            <w:pPr>
              <w:widowControl/>
              <w:jc w:val="left"/>
              <w:rPr>
                <w:rFonts w:ascii="宋体" w:hAnsi="宋体" w:cs="宋体"/>
                <w:kern w:val="0"/>
                <w:sz w:val="24"/>
                <w:lang w:bidi="ar"/>
              </w:rPr>
            </w:pPr>
            <w:r>
              <w:rPr>
                <w:rFonts w:hint="eastAsia" w:ascii="宋体" w:hAnsi="宋体" w:cs="宋体"/>
                <w:kern w:val="0"/>
                <w:sz w:val="24"/>
                <w:lang w:bidi="ar"/>
              </w:rPr>
              <w:t>2</w:t>
            </w:r>
            <w:r>
              <w:rPr>
                <w:rFonts w:ascii="DejaVuSans" w:hAnsi="DejaVuSans" w:eastAsia="DejaVuSans" w:cs="DejaVuSans"/>
                <w:kern w:val="0"/>
                <w:sz w:val="24"/>
                <w:lang w:bidi="ar"/>
              </w:rPr>
              <w:t>.</w:t>
            </w:r>
            <w:r>
              <w:rPr>
                <w:rFonts w:hint="eastAsia" w:ascii="宋体" w:hAnsi="宋体" w:cs="宋体"/>
                <w:kern w:val="0"/>
                <w:sz w:val="24"/>
                <w:lang w:bidi="ar"/>
              </w:rPr>
              <w:t>拟投入的保洁主管（仅一人）：</w:t>
            </w:r>
          </w:p>
          <w:p w14:paraId="1C28260A">
            <w:pPr>
              <w:widowControl/>
              <w:jc w:val="left"/>
              <w:rPr>
                <w:rFonts w:ascii="宋体" w:hAnsi="宋体" w:cs="宋体"/>
                <w:kern w:val="0"/>
                <w:sz w:val="24"/>
                <w:lang w:bidi="ar"/>
              </w:rPr>
            </w:pPr>
            <w:r>
              <w:rPr>
                <w:rFonts w:hint="eastAsia" w:ascii="宋体" w:hAnsi="宋体" w:cs="宋体"/>
                <w:kern w:val="0"/>
                <w:sz w:val="24"/>
                <w:lang w:bidi="ar"/>
              </w:rPr>
              <w:t>（1）具有本科、预备技师或以上学历的得3分</w:t>
            </w:r>
            <w:r>
              <w:rPr>
                <w:rFonts w:hint="eastAsia" w:ascii="宋体" w:hAnsi="宋体" w:cs="宋体"/>
                <w:kern w:val="0"/>
                <w:sz w:val="24"/>
                <w:lang w:eastAsia="zh-CN" w:bidi="ar"/>
              </w:rPr>
              <w:t>；</w:t>
            </w:r>
            <w:r>
              <w:rPr>
                <w:rFonts w:hint="eastAsia" w:ascii="宋体" w:hAnsi="宋体" w:cs="宋体"/>
                <w:kern w:val="0"/>
                <w:sz w:val="24"/>
                <w:lang w:bidi="ar"/>
              </w:rPr>
              <w:t>具有大专、高技学历的得2分</w:t>
            </w:r>
            <w:r>
              <w:rPr>
                <w:rFonts w:hint="eastAsia" w:ascii="宋体" w:hAnsi="宋体" w:cs="宋体"/>
                <w:kern w:val="0"/>
                <w:sz w:val="24"/>
                <w:lang w:eastAsia="zh-CN" w:bidi="ar"/>
              </w:rPr>
              <w:t>；</w:t>
            </w:r>
            <w:r>
              <w:rPr>
                <w:rFonts w:hint="eastAsia" w:ascii="宋体" w:hAnsi="宋体" w:cs="宋体"/>
                <w:kern w:val="0"/>
                <w:sz w:val="24"/>
                <w:lang w:bidi="ar"/>
              </w:rPr>
              <w:t>大专以下学历的不得分(提供学历证明文件)</w:t>
            </w:r>
            <w:r>
              <w:rPr>
                <w:rFonts w:hint="eastAsia" w:ascii="宋体" w:hAnsi="宋体" w:cs="宋体"/>
                <w:kern w:val="0"/>
                <w:sz w:val="24"/>
                <w:lang w:eastAsia="zh-CN" w:bidi="ar"/>
              </w:rPr>
              <w:t>，</w:t>
            </w:r>
            <w:r>
              <w:rPr>
                <w:rFonts w:hint="eastAsia" w:ascii="宋体" w:hAnsi="宋体" w:cs="宋体"/>
                <w:kern w:val="0"/>
                <w:sz w:val="24"/>
                <w:lang w:bidi="ar"/>
              </w:rPr>
              <w:t>此项最高得3分；</w:t>
            </w:r>
          </w:p>
          <w:p w14:paraId="765C5F94">
            <w:pPr>
              <w:widowControl/>
              <w:jc w:val="left"/>
              <w:rPr>
                <w:rFonts w:hint="eastAsia" w:ascii="宋体" w:hAnsi="宋体" w:eastAsia="宋体" w:cs="宋体"/>
                <w:strike/>
                <w:dstrike w:val="0"/>
                <w:kern w:val="0"/>
                <w:sz w:val="24"/>
                <w:highlight w:val="none"/>
                <w:lang w:val="en-US" w:eastAsia="zh-CN" w:bidi="ar"/>
              </w:rPr>
            </w:pPr>
            <w:r>
              <w:rPr>
                <w:rFonts w:hint="eastAsia" w:ascii="宋体" w:hAnsi="宋体" w:cs="宋体"/>
                <w:kern w:val="0"/>
                <w:sz w:val="24"/>
                <w:lang w:bidi="ar"/>
              </w:rPr>
              <w:t>（</w:t>
            </w:r>
            <w:r>
              <w:rPr>
                <w:rFonts w:ascii="DejaVuSans" w:hAnsi="DejaVuSans" w:eastAsia="DejaVuSans" w:cs="DejaVuSans"/>
                <w:kern w:val="0"/>
                <w:sz w:val="24"/>
                <w:lang w:bidi="ar"/>
              </w:rPr>
              <w:t>2</w:t>
            </w:r>
            <w:r>
              <w:rPr>
                <w:rFonts w:hint="eastAsia" w:ascii="宋体" w:hAnsi="宋体" w:cs="宋体"/>
                <w:kern w:val="0"/>
                <w:sz w:val="24"/>
                <w:lang w:bidi="ar"/>
              </w:rPr>
              <w:t>）从事物业管理</w:t>
            </w:r>
            <w:r>
              <w:rPr>
                <w:rFonts w:ascii="DejaVuSans" w:hAnsi="DejaVuSans" w:eastAsia="DejaVuSans" w:cs="DejaVuSans"/>
                <w:kern w:val="0"/>
                <w:sz w:val="24"/>
                <w:lang w:bidi="ar"/>
              </w:rPr>
              <w:t>3</w:t>
            </w:r>
            <w:r>
              <w:rPr>
                <w:rFonts w:hint="eastAsia" w:ascii="宋体" w:hAnsi="宋体" w:cs="宋体"/>
                <w:kern w:val="0"/>
                <w:sz w:val="24"/>
                <w:lang w:bidi="ar"/>
              </w:rPr>
              <w:t>年（含）以上工作经验的得3分</w:t>
            </w:r>
            <w:r>
              <w:rPr>
                <w:rFonts w:hint="eastAsia" w:ascii="宋体" w:hAnsi="宋体" w:cs="宋体"/>
                <w:kern w:val="0"/>
                <w:sz w:val="24"/>
                <w:lang w:eastAsia="zh-CN" w:bidi="ar"/>
              </w:rPr>
              <w:t>；</w:t>
            </w:r>
            <w:r>
              <w:rPr>
                <w:rFonts w:ascii="DejaVuSans" w:hAnsi="DejaVuSans" w:eastAsia="DejaVuSans" w:cs="DejaVuSans"/>
                <w:kern w:val="0"/>
                <w:sz w:val="24"/>
                <w:lang w:bidi="ar"/>
              </w:rPr>
              <w:t>1</w:t>
            </w:r>
            <w:r>
              <w:rPr>
                <w:rFonts w:hint="eastAsia" w:ascii="宋体" w:hAnsi="宋体" w:cs="宋体"/>
                <w:kern w:val="0"/>
                <w:sz w:val="24"/>
                <w:lang w:bidi="ar"/>
              </w:rPr>
              <w:t>年（含）以上工作经验的得</w:t>
            </w:r>
            <w:r>
              <w:rPr>
                <w:rFonts w:ascii="DejaVuSans" w:hAnsi="DejaVuSans" w:eastAsia="DejaVuSans" w:cs="DejaVuSans"/>
                <w:kern w:val="0"/>
                <w:sz w:val="24"/>
                <w:lang w:bidi="ar"/>
              </w:rPr>
              <w:t>1</w:t>
            </w:r>
            <w:r>
              <w:rPr>
                <w:rFonts w:hint="eastAsia" w:ascii="DejaVuSans" w:hAnsi="DejaVuSans" w:cs="DejaVuSans"/>
                <w:kern w:val="0"/>
                <w:sz w:val="24"/>
                <w:lang w:bidi="ar"/>
              </w:rPr>
              <w:t>.5</w:t>
            </w:r>
            <w:r>
              <w:rPr>
                <w:rFonts w:hint="eastAsia" w:ascii="宋体" w:hAnsi="宋体" w:cs="宋体"/>
                <w:kern w:val="0"/>
                <w:sz w:val="24"/>
                <w:lang w:bidi="ar"/>
              </w:rPr>
              <w:t>分，此项最高得3分。</w:t>
            </w:r>
            <w:r>
              <w:rPr>
                <w:rFonts w:hint="eastAsia" w:ascii="宋体" w:hAnsi="宋体" w:cs="宋体"/>
                <w:strike w:val="0"/>
                <w:dstrike w:val="0"/>
                <w:kern w:val="0"/>
                <w:sz w:val="24"/>
                <w:highlight w:val="none"/>
                <w:lang w:bidi="ar"/>
              </w:rPr>
              <w:t>（3）具有</w:t>
            </w:r>
            <w:r>
              <w:rPr>
                <w:rFonts w:hint="eastAsia" w:ascii="宋体" w:hAnsi="宋体" w:cs="宋体"/>
                <w:strike w:val="0"/>
                <w:dstrike w:val="0"/>
                <w:kern w:val="0"/>
                <w:sz w:val="24"/>
                <w:highlight w:val="none"/>
                <w:lang w:eastAsia="zh-CN" w:bidi="ar"/>
              </w:rPr>
              <w:t>政府部门</w:t>
            </w:r>
            <w:r>
              <w:rPr>
                <w:rFonts w:hint="eastAsia" w:ascii="宋体" w:hAnsi="宋体" w:cs="宋体"/>
                <w:strike w:val="0"/>
                <w:dstrike w:val="0"/>
                <w:kern w:val="0"/>
                <w:sz w:val="24"/>
                <w:highlight w:val="none"/>
                <w:lang w:bidi="ar"/>
              </w:rPr>
              <w:t>、物业管理行业协会颁发的管理员岗位合格证书的得</w:t>
            </w:r>
            <w:r>
              <w:rPr>
                <w:rFonts w:hint="eastAsia" w:ascii="宋体" w:hAnsi="宋体" w:cs="宋体"/>
                <w:strike w:val="0"/>
                <w:dstrike w:val="0"/>
                <w:kern w:val="0"/>
                <w:sz w:val="24"/>
                <w:highlight w:val="none"/>
                <w:lang w:val="en-US" w:eastAsia="zh-CN" w:bidi="ar"/>
              </w:rPr>
              <w:t>2</w:t>
            </w:r>
            <w:r>
              <w:rPr>
                <w:rFonts w:hint="eastAsia" w:ascii="宋体" w:hAnsi="宋体" w:cs="宋体"/>
                <w:strike w:val="0"/>
                <w:dstrike w:val="0"/>
                <w:kern w:val="0"/>
                <w:sz w:val="24"/>
                <w:highlight w:val="none"/>
                <w:lang w:bidi="ar"/>
              </w:rPr>
              <w:t>分</w:t>
            </w:r>
            <w:r>
              <w:rPr>
                <w:rFonts w:hint="eastAsia" w:ascii="宋体" w:hAnsi="宋体" w:cs="宋体"/>
                <w:strike w:val="0"/>
                <w:dstrike w:val="0"/>
                <w:kern w:val="0"/>
                <w:sz w:val="24"/>
                <w:highlight w:val="none"/>
                <w:lang w:eastAsia="zh-CN" w:bidi="ar"/>
              </w:rPr>
              <w:t>，</w:t>
            </w:r>
            <w:r>
              <w:rPr>
                <w:rFonts w:hint="eastAsia" w:ascii="宋体" w:hAnsi="宋体" w:cs="宋体"/>
                <w:kern w:val="0"/>
                <w:sz w:val="24"/>
                <w:highlight w:val="none"/>
                <w:lang w:bidi="ar"/>
              </w:rPr>
              <w:t>此项最高得</w:t>
            </w:r>
            <w:r>
              <w:rPr>
                <w:rFonts w:hint="eastAsia" w:ascii="宋体" w:hAnsi="宋体" w:cs="宋体"/>
                <w:kern w:val="0"/>
                <w:sz w:val="24"/>
                <w:highlight w:val="none"/>
                <w:lang w:val="en-US" w:eastAsia="zh-CN" w:bidi="ar"/>
              </w:rPr>
              <w:t>2</w:t>
            </w:r>
            <w:r>
              <w:rPr>
                <w:rFonts w:hint="eastAsia" w:ascii="宋体" w:hAnsi="宋体" w:cs="宋体"/>
                <w:kern w:val="0"/>
                <w:sz w:val="24"/>
                <w:highlight w:val="none"/>
                <w:lang w:bidi="ar"/>
              </w:rPr>
              <w:t>分</w:t>
            </w:r>
            <w:r>
              <w:rPr>
                <w:rFonts w:hint="eastAsia" w:ascii="宋体" w:hAnsi="宋体" w:cs="宋体"/>
                <w:strike w:val="0"/>
                <w:dstrike w:val="0"/>
                <w:kern w:val="0"/>
                <w:sz w:val="24"/>
                <w:highlight w:val="none"/>
                <w:lang w:val="en-US" w:eastAsia="zh-CN" w:bidi="ar"/>
              </w:rPr>
              <w:t>。</w:t>
            </w:r>
          </w:p>
          <w:p w14:paraId="583E404E">
            <w:pPr>
              <w:widowControl/>
              <w:jc w:val="left"/>
              <w:rPr>
                <w:rFonts w:ascii="宋体" w:hAnsi="宋体" w:cs="宋体"/>
                <w:kern w:val="0"/>
                <w:sz w:val="24"/>
                <w:highlight w:val="none"/>
                <w:lang w:bidi="ar"/>
              </w:rPr>
            </w:pPr>
            <w:r>
              <w:rPr>
                <w:rFonts w:hint="eastAsia" w:ascii="DejaVuSans" w:hAnsi="DejaVuSans" w:cs="DejaVuSans"/>
                <w:kern w:val="0"/>
                <w:sz w:val="24"/>
                <w:highlight w:val="none"/>
                <w:lang w:bidi="ar"/>
              </w:rPr>
              <w:t>3</w:t>
            </w:r>
            <w:r>
              <w:rPr>
                <w:rFonts w:ascii="DejaVuSans" w:hAnsi="DejaVuSans" w:eastAsia="DejaVuSans" w:cs="DejaVuSans"/>
                <w:kern w:val="0"/>
                <w:sz w:val="24"/>
                <w:highlight w:val="none"/>
                <w:lang w:bidi="ar"/>
              </w:rPr>
              <w:t>.</w:t>
            </w:r>
            <w:r>
              <w:rPr>
                <w:rFonts w:hint="eastAsia" w:ascii="宋体" w:hAnsi="宋体" w:cs="宋体"/>
                <w:kern w:val="0"/>
                <w:sz w:val="24"/>
                <w:highlight w:val="none"/>
                <w:lang w:bidi="ar"/>
              </w:rPr>
              <w:t>拟投入园林绿化管理人员 （仅一人）</w:t>
            </w:r>
          </w:p>
          <w:p w14:paraId="1D01037D">
            <w:pPr>
              <w:widowControl/>
              <w:ind w:left="240" w:hanging="240" w:hangingChars="100"/>
              <w:jc w:val="left"/>
              <w:rPr>
                <w:rFonts w:ascii="宋体" w:hAnsi="宋体" w:cs="宋体"/>
                <w:kern w:val="0"/>
                <w:sz w:val="24"/>
                <w:lang w:bidi="ar"/>
              </w:rPr>
            </w:pPr>
            <w:r>
              <w:rPr>
                <w:rFonts w:hint="eastAsia" w:ascii="宋体" w:hAnsi="宋体" w:cs="宋体"/>
                <w:kern w:val="0"/>
                <w:sz w:val="24"/>
                <w:lang w:bidi="ar"/>
              </w:rPr>
              <w:t>（</w:t>
            </w:r>
            <w:r>
              <w:rPr>
                <w:rFonts w:hint="eastAsia" w:ascii="DejaVuSans" w:hAnsi="DejaVuSans" w:cs="DejaVuSans"/>
                <w:kern w:val="0"/>
                <w:sz w:val="24"/>
                <w:lang w:bidi="ar"/>
              </w:rPr>
              <w:t>1</w:t>
            </w:r>
            <w:r>
              <w:rPr>
                <w:rFonts w:hint="eastAsia" w:ascii="宋体" w:hAnsi="宋体" w:cs="宋体"/>
                <w:kern w:val="0"/>
                <w:sz w:val="24"/>
                <w:lang w:bidi="ar"/>
              </w:rPr>
              <w:t>）从事物业管理</w:t>
            </w:r>
            <w:r>
              <w:rPr>
                <w:rFonts w:ascii="DejaVuSans" w:hAnsi="DejaVuSans" w:eastAsia="DejaVuSans" w:cs="DejaVuSans"/>
                <w:kern w:val="0"/>
                <w:sz w:val="24"/>
                <w:lang w:bidi="ar"/>
              </w:rPr>
              <w:t>1</w:t>
            </w:r>
            <w:r>
              <w:rPr>
                <w:rFonts w:hint="eastAsia" w:ascii="宋体" w:hAnsi="宋体" w:cs="宋体"/>
                <w:kern w:val="0"/>
                <w:sz w:val="24"/>
                <w:lang w:bidi="ar"/>
              </w:rPr>
              <w:t>年（含）以上工作经验的得</w:t>
            </w:r>
            <w:r>
              <w:rPr>
                <w:rFonts w:ascii="DejaVuSans" w:hAnsi="DejaVuSans" w:eastAsia="DejaVuSans" w:cs="DejaVuSans"/>
                <w:kern w:val="0"/>
                <w:sz w:val="24"/>
                <w:lang w:bidi="ar"/>
              </w:rPr>
              <w:t>1</w:t>
            </w:r>
            <w:r>
              <w:rPr>
                <w:rFonts w:hint="eastAsia" w:ascii="DejaVuSans" w:hAnsi="DejaVuSans" w:cs="DejaVuSans"/>
                <w:kern w:val="0"/>
                <w:sz w:val="24"/>
                <w:lang w:bidi="ar"/>
              </w:rPr>
              <w:t>.5</w:t>
            </w:r>
            <w:r>
              <w:rPr>
                <w:rFonts w:hint="eastAsia" w:ascii="宋体" w:hAnsi="宋体" w:cs="宋体"/>
                <w:kern w:val="0"/>
                <w:sz w:val="24"/>
                <w:lang w:bidi="ar"/>
              </w:rPr>
              <w:t>分</w:t>
            </w:r>
            <w:r>
              <w:rPr>
                <w:rFonts w:hint="eastAsia" w:ascii="宋体" w:hAnsi="宋体" w:cs="宋体"/>
                <w:kern w:val="0"/>
                <w:sz w:val="24"/>
                <w:lang w:eastAsia="zh-CN" w:bidi="ar"/>
              </w:rPr>
              <w:t>；</w:t>
            </w:r>
            <w:r>
              <w:rPr>
                <w:rFonts w:ascii="DejaVuSans" w:hAnsi="DejaVuSans" w:eastAsia="DejaVuSans" w:cs="DejaVuSans"/>
                <w:kern w:val="0"/>
                <w:sz w:val="24"/>
                <w:lang w:bidi="ar"/>
              </w:rPr>
              <w:t>2</w:t>
            </w:r>
            <w:r>
              <w:rPr>
                <w:rFonts w:hint="eastAsia" w:ascii="宋体" w:hAnsi="宋体" w:cs="宋体"/>
                <w:kern w:val="0"/>
                <w:sz w:val="24"/>
                <w:lang w:bidi="ar"/>
              </w:rPr>
              <w:t>年（含）以上工作经验的得 3分。此项最高得3分。</w:t>
            </w:r>
          </w:p>
          <w:p w14:paraId="08AD2B40">
            <w:pPr>
              <w:widowControl/>
              <w:jc w:val="left"/>
              <w:rPr>
                <w:rFonts w:hint="default" w:ascii="宋体" w:hAnsi="宋体" w:eastAsia="宋体" w:cs="宋体"/>
                <w:kern w:val="0"/>
                <w:sz w:val="24"/>
                <w:lang w:val="en-US" w:eastAsia="zh-CN" w:bidi="ar"/>
              </w:rPr>
            </w:pPr>
            <w:r>
              <w:rPr>
                <w:rFonts w:hint="eastAsia" w:ascii="宋体" w:hAnsi="宋体" w:cs="宋体"/>
                <w:kern w:val="0"/>
                <w:sz w:val="24"/>
                <w:lang w:bidi="ar"/>
              </w:rPr>
              <w:t>4.</w:t>
            </w:r>
            <w:r>
              <w:rPr>
                <w:rFonts w:ascii="DejaVuSans" w:hAnsi="DejaVuSans" w:eastAsia="DejaVuSans" w:cs="DejaVuSans"/>
                <w:kern w:val="0"/>
                <w:sz w:val="24"/>
                <w:lang w:bidi="ar"/>
              </w:rPr>
              <w:t>.</w:t>
            </w:r>
            <w:r>
              <w:rPr>
                <w:rFonts w:hint="eastAsia" w:ascii="宋体" w:hAnsi="宋体" w:cs="宋体"/>
                <w:kern w:val="0"/>
                <w:sz w:val="24"/>
                <w:lang w:bidi="ar"/>
              </w:rPr>
              <w:t>项目人员</w:t>
            </w:r>
            <w:r>
              <w:rPr>
                <w:rFonts w:ascii="DejaVuSans" w:hAnsi="DejaVuSans" w:eastAsia="DejaVuSans" w:cs="DejaVuSans"/>
                <w:kern w:val="0"/>
                <w:sz w:val="24"/>
                <w:lang w:bidi="ar"/>
              </w:rPr>
              <w:t>(</w:t>
            </w:r>
            <w:r>
              <w:rPr>
                <w:rFonts w:hint="eastAsia" w:ascii="宋体" w:hAnsi="宋体" w:cs="宋体"/>
                <w:kern w:val="0"/>
                <w:sz w:val="24"/>
                <w:lang w:bidi="ar"/>
              </w:rPr>
              <w:t>除项目经理 、保洁主管、园林绿化管理人员以外）：1人具有电工证得2分，注：一人一证。</w:t>
            </w:r>
            <w:r>
              <w:rPr>
                <w:rFonts w:hint="eastAsia" w:ascii="宋体" w:hAnsi="宋体" w:cs="宋体"/>
                <w:kern w:val="0"/>
                <w:sz w:val="24"/>
                <w:lang w:val="en-US" w:eastAsia="zh-CN" w:bidi="ar"/>
              </w:rPr>
              <w:t>此项最高得2分。</w:t>
            </w:r>
          </w:p>
          <w:p w14:paraId="757F5955">
            <w:pPr>
              <w:widowControl/>
              <w:jc w:val="left"/>
              <w:rPr>
                <w:rFonts w:ascii="宋体" w:hAnsi="宋体"/>
                <w:sz w:val="24"/>
              </w:rPr>
            </w:pPr>
            <w:r>
              <w:rPr>
                <w:rFonts w:hint="eastAsia" w:ascii="宋体" w:hAnsi="宋体" w:cs="宋体"/>
                <w:kern w:val="0"/>
                <w:sz w:val="24"/>
                <w:lang w:bidi="ar"/>
              </w:rPr>
              <w:t>以上须提供学历、各项相关证书原件扫描件加盖投标人公章；涉及工作经验的，须提供所服务单位出具的从业经验证明原件扫描件并加盖投标人公章、投标人为其连续缴纳社保至投标之日近</w:t>
            </w:r>
            <w:r>
              <w:rPr>
                <w:rFonts w:ascii="DejaVuSans" w:hAnsi="DejaVuSans" w:eastAsia="DejaVuSans" w:cs="DejaVuSans"/>
                <w:kern w:val="0"/>
                <w:sz w:val="24"/>
                <w:lang w:bidi="ar"/>
              </w:rPr>
              <w:t>6</w:t>
            </w:r>
            <w:r>
              <w:rPr>
                <w:rFonts w:hint="eastAsia" w:ascii="宋体" w:hAnsi="宋体" w:cs="宋体"/>
                <w:kern w:val="0"/>
                <w:sz w:val="24"/>
                <w:lang w:bidi="ar"/>
              </w:rPr>
              <w:t>个月内任意一个月的证明材料扫描件加盖投标人公章方能得分；新成立公司提供成立至今的社保缴纳证明材料扫描件加盖投标人公章，不提供证书或社保缴纳凭证的不得分。</w:t>
            </w:r>
          </w:p>
        </w:tc>
        <w:tc>
          <w:tcPr>
            <w:tcW w:w="892" w:type="dxa"/>
            <w:tcMar>
              <w:top w:w="85" w:type="dxa"/>
              <w:bottom w:w="85" w:type="dxa"/>
            </w:tcMar>
            <w:vAlign w:val="center"/>
          </w:tcPr>
          <w:p w14:paraId="43336899">
            <w:pPr>
              <w:jc w:val="center"/>
              <w:rPr>
                <w:rFonts w:hint="default" w:ascii="宋体" w:hAnsi="宋体" w:eastAsia="宋体"/>
                <w:szCs w:val="21"/>
                <w:lang w:val="en-US" w:eastAsia="zh-CN"/>
              </w:rPr>
            </w:pPr>
            <w:r>
              <w:rPr>
                <w:rFonts w:hint="eastAsia" w:ascii="宋体" w:hAnsi="宋体"/>
                <w:szCs w:val="21"/>
                <w:highlight w:val="none"/>
                <w:lang w:val="en-US" w:eastAsia="zh-CN"/>
              </w:rPr>
              <w:t>22</w:t>
            </w:r>
          </w:p>
        </w:tc>
      </w:tr>
      <w:tr w14:paraId="2A5E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059" w:type="dxa"/>
            <w:gridSpan w:val="2"/>
            <w:tcMar>
              <w:top w:w="85" w:type="dxa"/>
              <w:bottom w:w="85" w:type="dxa"/>
            </w:tcMar>
            <w:vAlign w:val="center"/>
          </w:tcPr>
          <w:p w14:paraId="3E471F2C">
            <w:pPr>
              <w:adjustRightInd w:val="0"/>
              <w:snapToGrid w:val="0"/>
              <w:jc w:val="center"/>
              <w:rPr>
                <w:rFonts w:ascii="宋体"/>
                <w:b/>
                <w:bCs/>
                <w:szCs w:val="21"/>
              </w:rPr>
            </w:pPr>
            <w:r>
              <w:rPr>
                <w:rFonts w:hint="eastAsia" w:ascii="宋体" w:hAnsi="宋体" w:cs="宋体"/>
                <w:b/>
                <w:bCs/>
                <w:szCs w:val="21"/>
              </w:rPr>
              <w:t>合计</w:t>
            </w:r>
          </w:p>
        </w:tc>
        <w:tc>
          <w:tcPr>
            <w:tcW w:w="6858" w:type="dxa"/>
            <w:gridSpan w:val="2"/>
            <w:tcMar>
              <w:top w:w="85" w:type="dxa"/>
              <w:bottom w:w="85" w:type="dxa"/>
            </w:tcMar>
            <w:vAlign w:val="center"/>
          </w:tcPr>
          <w:p w14:paraId="2B71276C">
            <w:pPr>
              <w:widowControl/>
              <w:adjustRightInd w:val="0"/>
              <w:snapToGrid w:val="0"/>
              <w:jc w:val="center"/>
              <w:rPr>
                <w:rFonts w:ascii="宋体"/>
                <w:b/>
                <w:bCs/>
                <w:szCs w:val="21"/>
              </w:rPr>
            </w:pPr>
            <w:r>
              <w:rPr>
                <w:rFonts w:hint="eastAsia" w:ascii="宋体" w:cs="宋体"/>
                <w:b/>
                <w:bCs/>
                <w:szCs w:val="21"/>
              </w:rPr>
              <w:t>40分</w:t>
            </w:r>
          </w:p>
        </w:tc>
      </w:tr>
    </w:tbl>
    <w:p w14:paraId="37CB0036">
      <w:pPr>
        <w:spacing w:line="360" w:lineRule="auto"/>
        <w:rPr>
          <w:rFonts w:ascii="宋体" w:hAnsi="宋体" w:cs="宋体"/>
          <w:b/>
          <w:sz w:val="10"/>
          <w:szCs w:val="10"/>
        </w:rPr>
      </w:pPr>
    </w:p>
    <w:p w14:paraId="3D315312">
      <w:pPr>
        <w:spacing w:line="400" w:lineRule="exact"/>
        <w:rPr>
          <w:rFonts w:ascii="宋体" w:hAnsi="宋体"/>
          <w:sz w:val="24"/>
        </w:rPr>
      </w:pPr>
      <w:r>
        <w:rPr>
          <w:rFonts w:hint="eastAsia" w:ascii="宋体" w:hAnsi="宋体"/>
          <w:sz w:val="24"/>
        </w:rPr>
        <w:t>（2）技术评分：30分</w:t>
      </w:r>
    </w:p>
    <w:tbl>
      <w:tblPr>
        <w:tblStyle w:val="12"/>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326"/>
        <w:gridCol w:w="5760"/>
        <w:gridCol w:w="862"/>
      </w:tblGrid>
      <w:tr w14:paraId="0474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17630712">
            <w:pPr>
              <w:adjustRightInd w:val="0"/>
              <w:snapToGrid w:val="0"/>
              <w:jc w:val="center"/>
              <w:rPr>
                <w:rFonts w:ascii="宋体"/>
                <w:b/>
                <w:bCs/>
                <w:szCs w:val="21"/>
              </w:rPr>
            </w:pPr>
            <w:r>
              <w:rPr>
                <w:rFonts w:hint="eastAsia" w:ascii="宋体" w:hAnsi="宋体" w:cs="宋体"/>
                <w:b/>
                <w:bCs/>
                <w:szCs w:val="21"/>
              </w:rPr>
              <w:t>序号</w:t>
            </w:r>
          </w:p>
        </w:tc>
        <w:tc>
          <w:tcPr>
            <w:tcW w:w="2326" w:type="dxa"/>
            <w:tcMar>
              <w:top w:w="85" w:type="dxa"/>
              <w:bottom w:w="85" w:type="dxa"/>
            </w:tcMar>
            <w:vAlign w:val="center"/>
          </w:tcPr>
          <w:p w14:paraId="2B4BF968">
            <w:pPr>
              <w:adjustRightInd w:val="0"/>
              <w:snapToGrid w:val="0"/>
              <w:jc w:val="center"/>
              <w:rPr>
                <w:rFonts w:ascii="宋体"/>
                <w:b/>
                <w:bCs/>
                <w:szCs w:val="21"/>
              </w:rPr>
            </w:pPr>
            <w:r>
              <w:rPr>
                <w:rFonts w:hint="eastAsia" w:ascii="宋体" w:hAnsi="宋体" w:cs="宋体"/>
                <w:b/>
                <w:bCs/>
                <w:szCs w:val="21"/>
              </w:rPr>
              <w:t>评审项目</w:t>
            </w:r>
          </w:p>
        </w:tc>
        <w:tc>
          <w:tcPr>
            <w:tcW w:w="5760" w:type="dxa"/>
            <w:tcMar>
              <w:top w:w="85" w:type="dxa"/>
              <w:bottom w:w="85" w:type="dxa"/>
            </w:tcMar>
            <w:vAlign w:val="center"/>
          </w:tcPr>
          <w:p w14:paraId="2D7372C0">
            <w:pPr>
              <w:adjustRightInd w:val="0"/>
              <w:snapToGrid w:val="0"/>
              <w:jc w:val="center"/>
              <w:rPr>
                <w:rFonts w:ascii="宋体"/>
                <w:b/>
                <w:bCs/>
                <w:szCs w:val="21"/>
              </w:rPr>
            </w:pPr>
            <w:r>
              <w:rPr>
                <w:rFonts w:hint="eastAsia" w:ascii="宋体" w:hAnsi="宋体" w:cs="宋体"/>
                <w:b/>
                <w:bCs/>
                <w:szCs w:val="21"/>
              </w:rPr>
              <w:t>评分范围</w:t>
            </w:r>
          </w:p>
        </w:tc>
        <w:tc>
          <w:tcPr>
            <w:tcW w:w="862" w:type="dxa"/>
            <w:tcMar>
              <w:top w:w="85" w:type="dxa"/>
              <w:bottom w:w="85" w:type="dxa"/>
            </w:tcMar>
            <w:vAlign w:val="center"/>
          </w:tcPr>
          <w:p w14:paraId="03E2CF40">
            <w:pPr>
              <w:adjustRightInd w:val="0"/>
              <w:snapToGrid w:val="0"/>
              <w:jc w:val="center"/>
              <w:rPr>
                <w:rFonts w:ascii="宋体"/>
                <w:b/>
                <w:bCs/>
                <w:szCs w:val="21"/>
              </w:rPr>
            </w:pPr>
            <w:r>
              <w:rPr>
                <w:rFonts w:hint="eastAsia" w:ascii="宋体" w:hAnsi="宋体" w:cs="宋体"/>
                <w:b/>
                <w:bCs/>
                <w:szCs w:val="21"/>
              </w:rPr>
              <w:t>分值</w:t>
            </w:r>
          </w:p>
        </w:tc>
      </w:tr>
      <w:tr w14:paraId="461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5A0CB037">
            <w:pPr>
              <w:tabs>
                <w:tab w:val="left" w:pos="142"/>
              </w:tabs>
              <w:adjustRightInd w:val="0"/>
              <w:snapToGrid w:val="0"/>
              <w:jc w:val="center"/>
              <w:rPr>
                <w:rFonts w:ascii="宋体" w:cs="宋体"/>
                <w:szCs w:val="21"/>
              </w:rPr>
            </w:pPr>
            <w:r>
              <w:rPr>
                <w:rFonts w:hint="eastAsia" w:ascii="宋体" w:cs="宋体"/>
                <w:szCs w:val="21"/>
              </w:rPr>
              <w:t>1</w:t>
            </w:r>
          </w:p>
        </w:tc>
        <w:tc>
          <w:tcPr>
            <w:tcW w:w="2326" w:type="dxa"/>
            <w:tcMar>
              <w:top w:w="85" w:type="dxa"/>
              <w:bottom w:w="85" w:type="dxa"/>
            </w:tcMar>
            <w:vAlign w:val="center"/>
          </w:tcPr>
          <w:p w14:paraId="3613AA41">
            <w:pPr>
              <w:widowControl/>
              <w:jc w:val="left"/>
              <w:rPr>
                <w:sz w:val="24"/>
              </w:rPr>
            </w:pPr>
            <w:r>
              <w:rPr>
                <w:rFonts w:hint="eastAsia" w:ascii="宋体" w:hAnsi="宋体" w:cs="宋体"/>
                <w:kern w:val="0"/>
                <w:sz w:val="24"/>
                <w:lang w:bidi="ar"/>
              </w:rPr>
              <w:t>物业整体服务方案 （7.0分）</w:t>
            </w:r>
          </w:p>
          <w:p w14:paraId="35095434">
            <w:pPr>
              <w:jc w:val="center"/>
              <w:rPr>
                <w:rFonts w:ascii="宋体" w:hAnsi="宋体" w:cs="宋体"/>
                <w:bCs/>
                <w:sz w:val="24"/>
                <w:highlight w:val="white"/>
              </w:rPr>
            </w:pPr>
          </w:p>
        </w:tc>
        <w:tc>
          <w:tcPr>
            <w:tcW w:w="5760" w:type="dxa"/>
            <w:tcMar>
              <w:top w:w="85" w:type="dxa"/>
              <w:bottom w:w="85" w:type="dxa"/>
            </w:tcMar>
            <w:vAlign w:val="center"/>
          </w:tcPr>
          <w:p w14:paraId="313EEA1F">
            <w:pPr>
              <w:rPr>
                <w:rFonts w:ascii="宋体" w:hAnsi="宋体"/>
                <w:sz w:val="24"/>
              </w:rPr>
            </w:pPr>
            <w:r>
              <w:rPr>
                <w:rFonts w:hint="eastAsia" w:ascii="宋体" w:hAnsi="宋体"/>
                <w:sz w:val="24"/>
              </w:rPr>
              <w:t>根据投标人针对本项目制定的物业整体服务方案进行打分，至少包括以下 5点内容：①对本项目的分析理解②管理思路③整体设想④服务优势⑤运作流程。</w:t>
            </w:r>
          </w:p>
          <w:p w14:paraId="0A0BC858">
            <w:pPr>
              <w:rPr>
                <w:rFonts w:ascii="宋体" w:hAnsi="宋体"/>
                <w:sz w:val="24"/>
              </w:rPr>
            </w:pPr>
            <w:r>
              <w:rPr>
                <w:rFonts w:hint="eastAsia" w:ascii="宋体" w:hAnsi="宋体"/>
                <w:sz w:val="24"/>
              </w:rPr>
              <w:t>1.总体方案（包括但不限于：①对本项目的分析理解②管理思路③整 体设想④服务优势⑤运作流程）框架清晰，内容具体详细，对本项目的分析理解到位，管理思路、整体设想、服务优势、运作流程内容详尽完善，能完全满足采购需求的得7分；</w:t>
            </w:r>
          </w:p>
          <w:p w14:paraId="25557E32">
            <w:pPr>
              <w:rPr>
                <w:rFonts w:ascii="宋体" w:hAnsi="宋体"/>
                <w:sz w:val="24"/>
              </w:rPr>
            </w:pPr>
            <w:r>
              <w:rPr>
                <w:rFonts w:hint="eastAsia" w:ascii="宋体" w:hAnsi="宋体"/>
                <w:sz w:val="24"/>
              </w:rPr>
              <w:t>2.总体方案（包括但不限于；①对本项目的分析理解②管理思路③整体设想④服务优势⑤运作流程）有总体框架、内容 基本完整，有对本项目的分析理解，管理思路、整体设想、服务优势、运作流程内容基本完善，能基本满足采购需求的得5分；</w:t>
            </w:r>
          </w:p>
          <w:p w14:paraId="6D7F271E">
            <w:pPr>
              <w:rPr>
                <w:rFonts w:ascii="宋体" w:hAnsi="宋体"/>
                <w:sz w:val="24"/>
              </w:rPr>
            </w:pPr>
            <w:r>
              <w:rPr>
                <w:rFonts w:hint="eastAsia" w:ascii="宋体" w:hAnsi="宋体"/>
                <w:sz w:val="24"/>
              </w:rPr>
              <w:t>3.总体方案（包括但不限于；①对本项目的分析理解②管理思路③整体设想服务优势⑤运作流程 ）框架不清晰，对本项目的分析理解、管理思路、整体设想、服务优势、 运作流程内容有缺漏或不可行，不能满足采购需求的得3分；</w:t>
            </w:r>
          </w:p>
          <w:p w14:paraId="2E8B8E7B">
            <w:pPr>
              <w:rPr>
                <w:rFonts w:ascii="宋体" w:hAnsi="宋体"/>
                <w:sz w:val="24"/>
              </w:rPr>
            </w:pPr>
            <w:r>
              <w:rPr>
                <w:rFonts w:hint="eastAsia" w:ascii="宋体" w:hAnsi="宋体"/>
                <w:sz w:val="24"/>
              </w:rPr>
              <w:t>4.不提供不得分。</w:t>
            </w:r>
          </w:p>
        </w:tc>
        <w:tc>
          <w:tcPr>
            <w:tcW w:w="862" w:type="dxa"/>
            <w:tcMar>
              <w:top w:w="85" w:type="dxa"/>
              <w:bottom w:w="85" w:type="dxa"/>
            </w:tcMar>
            <w:vAlign w:val="center"/>
          </w:tcPr>
          <w:p w14:paraId="5028B70A">
            <w:pPr>
              <w:adjustRightInd w:val="0"/>
              <w:snapToGrid w:val="0"/>
              <w:jc w:val="center"/>
              <w:rPr>
                <w:rFonts w:ascii="宋体" w:hAnsi="宋体"/>
                <w:szCs w:val="21"/>
              </w:rPr>
            </w:pPr>
            <w:r>
              <w:rPr>
                <w:rFonts w:hint="eastAsia" w:ascii="宋体" w:hAnsi="宋体"/>
                <w:szCs w:val="21"/>
              </w:rPr>
              <w:t>7</w:t>
            </w:r>
          </w:p>
        </w:tc>
      </w:tr>
      <w:tr w14:paraId="4D5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18D547B3">
            <w:pPr>
              <w:tabs>
                <w:tab w:val="left" w:pos="142"/>
              </w:tabs>
              <w:adjustRightInd w:val="0"/>
              <w:snapToGrid w:val="0"/>
              <w:jc w:val="center"/>
              <w:rPr>
                <w:rFonts w:ascii="宋体" w:cs="宋体"/>
                <w:szCs w:val="21"/>
              </w:rPr>
            </w:pPr>
            <w:r>
              <w:rPr>
                <w:rFonts w:hint="eastAsia" w:ascii="宋体" w:cs="宋体"/>
                <w:szCs w:val="21"/>
              </w:rPr>
              <w:t>2</w:t>
            </w:r>
          </w:p>
        </w:tc>
        <w:tc>
          <w:tcPr>
            <w:tcW w:w="2326" w:type="dxa"/>
            <w:tcMar>
              <w:top w:w="85" w:type="dxa"/>
              <w:bottom w:w="85" w:type="dxa"/>
            </w:tcMar>
            <w:vAlign w:val="center"/>
          </w:tcPr>
          <w:p w14:paraId="29624AD4">
            <w:pPr>
              <w:widowControl/>
              <w:jc w:val="left"/>
              <w:rPr>
                <w:sz w:val="24"/>
              </w:rPr>
            </w:pPr>
            <w:r>
              <w:rPr>
                <w:rFonts w:hint="eastAsia" w:ascii="宋体" w:hAnsi="宋体" w:cs="宋体"/>
                <w:kern w:val="0"/>
                <w:sz w:val="24"/>
                <w:lang w:bidi="ar"/>
              </w:rPr>
              <w:t xml:space="preserve">环境卫生管理及垃圾处理相关方 </w:t>
            </w:r>
          </w:p>
          <w:p w14:paraId="4FA4C8B1">
            <w:pPr>
              <w:widowControl/>
              <w:jc w:val="left"/>
              <w:rPr>
                <w:sz w:val="24"/>
              </w:rPr>
            </w:pPr>
            <w:r>
              <w:rPr>
                <w:rFonts w:hint="eastAsia" w:ascii="宋体" w:hAnsi="宋体" w:cs="宋体"/>
                <w:kern w:val="0"/>
                <w:sz w:val="24"/>
                <w:lang w:bidi="ar"/>
              </w:rPr>
              <w:t>案 （</w:t>
            </w:r>
            <w:r>
              <w:rPr>
                <w:rFonts w:hint="eastAsia" w:ascii="DejaVuSans" w:hAnsi="DejaVuSans" w:eastAsia="DejaVuSans" w:cs="DejaVuSans"/>
                <w:kern w:val="0"/>
                <w:sz w:val="24"/>
                <w:lang w:bidi="ar"/>
              </w:rPr>
              <w:t>5</w:t>
            </w:r>
            <w:r>
              <w:rPr>
                <w:rFonts w:hint="eastAsia" w:ascii="DejaVuSans" w:hAnsi="DejaVuSans" w:cs="DejaVuSans"/>
                <w:kern w:val="0"/>
                <w:sz w:val="24"/>
                <w:lang w:bidi="ar"/>
              </w:rPr>
              <w:t>.0</w:t>
            </w:r>
            <w:r>
              <w:rPr>
                <w:rFonts w:hint="eastAsia" w:ascii="宋体" w:hAnsi="宋体" w:cs="宋体"/>
                <w:kern w:val="0"/>
                <w:sz w:val="24"/>
                <w:lang w:bidi="ar"/>
              </w:rPr>
              <w:t>分）</w:t>
            </w:r>
          </w:p>
          <w:p w14:paraId="16A13FF5">
            <w:pPr>
              <w:jc w:val="center"/>
              <w:rPr>
                <w:rFonts w:ascii="宋体" w:hAnsi="宋体" w:cs="宋体"/>
                <w:sz w:val="24"/>
                <w:highlight w:val="white"/>
              </w:rPr>
            </w:pPr>
          </w:p>
        </w:tc>
        <w:tc>
          <w:tcPr>
            <w:tcW w:w="5760" w:type="dxa"/>
            <w:tcMar>
              <w:top w:w="85" w:type="dxa"/>
              <w:bottom w:w="85" w:type="dxa"/>
            </w:tcMar>
            <w:vAlign w:val="center"/>
          </w:tcPr>
          <w:p w14:paraId="2E28723A">
            <w:pPr>
              <w:widowControl/>
              <w:jc w:val="left"/>
              <w:rPr>
                <w:rFonts w:ascii="宋体" w:hAnsi="宋体" w:cs="宋体"/>
                <w:kern w:val="0"/>
                <w:sz w:val="24"/>
                <w:lang w:bidi="ar"/>
              </w:rPr>
            </w:pPr>
            <w:r>
              <w:rPr>
                <w:rFonts w:hint="eastAsia" w:ascii="宋体" w:hAnsi="宋体" w:cs="宋体"/>
                <w:kern w:val="0"/>
                <w:sz w:val="24"/>
                <w:lang w:bidi="ar"/>
              </w:rPr>
              <w:t>根据投标人针对本项目制定的环境卫生管理及垃圾处理方案进行打分，至少包括以下</w:t>
            </w:r>
            <w:r>
              <w:rPr>
                <w:rFonts w:ascii="DejaVuSans" w:hAnsi="DejaVuSans" w:eastAsia="DejaVuSans" w:cs="DejaVuSans"/>
                <w:kern w:val="0"/>
                <w:sz w:val="24"/>
                <w:lang w:bidi="ar"/>
              </w:rPr>
              <w:t>6</w:t>
            </w:r>
            <w:r>
              <w:rPr>
                <w:rFonts w:hint="eastAsia" w:ascii="宋体" w:hAnsi="宋体" w:cs="宋体"/>
                <w:kern w:val="0"/>
                <w:sz w:val="24"/>
                <w:lang w:bidi="ar"/>
              </w:rPr>
              <w:t>点内容：</w:t>
            </w:r>
            <w:r>
              <w:rPr>
                <w:rFonts w:ascii="DejaVuSans" w:hAnsi="DejaVuSans" w:eastAsia="DejaVuSans" w:cs="DejaVuSans"/>
                <w:kern w:val="0"/>
                <w:sz w:val="24"/>
                <w:lang w:bidi="ar"/>
              </w:rPr>
              <w:t>①</w:t>
            </w:r>
            <w:r>
              <w:rPr>
                <w:rFonts w:hint="eastAsia" w:ascii="宋体" w:hAnsi="宋体" w:cs="宋体"/>
                <w:kern w:val="0"/>
                <w:sz w:val="24"/>
                <w:lang w:bidi="ar"/>
              </w:rPr>
              <w:t>重点难点分析</w:t>
            </w:r>
            <w:r>
              <w:rPr>
                <w:rFonts w:ascii="DejaVuSans" w:hAnsi="DejaVuSans" w:eastAsia="DejaVuSans" w:cs="DejaVuSans"/>
                <w:kern w:val="0"/>
                <w:sz w:val="24"/>
                <w:lang w:bidi="ar"/>
              </w:rPr>
              <w:t>②</w:t>
            </w:r>
            <w:r>
              <w:rPr>
                <w:rFonts w:hint="eastAsia" w:ascii="宋体" w:hAnsi="宋体" w:cs="宋体"/>
                <w:kern w:val="0"/>
                <w:sz w:val="24"/>
                <w:lang w:bidi="ar"/>
              </w:rPr>
              <w:t>保洁日常管理</w:t>
            </w:r>
            <w:r>
              <w:rPr>
                <w:rFonts w:ascii="DejaVuSans" w:hAnsi="DejaVuSans" w:eastAsia="DejaVuSans" w:cs="DejaVuSans"/>
                <w:kern w:val="0"/>
                <w:sz w:val="24"/>
                <w:lang w:bidi="ar"/>
              </w:rPr>
              <w:t>③</w:t>
            </w:r>
            <w:r>
              <w:rPr>
                <w:rFonts w:hint="eastAsia" w:ascii="宋体" w:hAnsi="宋体" w:cs="宋体"/>
                <w:kern w:val="0"/>
                <w:sz w:val="24"/>
                <w:lang w:bidi="ar"/>
              </w:rPr>
              <w:t>作业流程</w:t>
            </w:r>
            <w:r>
              <w:rPr>
                <w:rFonts w:ascii="DejaVuSans" w:hAnsi="DejaVuSans" w:eastAsia="DejaVuSans" w:cs="DejaVuSans"/>
                <w:kern w:val="0"/>
                <w:sz w:val="24"/>
                <w:lang w:bidi="ar"/>
              </w:rPr>
              <w:t>④</w:t>
            </w:r>
            <w:r>
              <w:rPr>
                <w:rFonts w:hint="eastAsia" w:ascii="宋体" w:hAnsi="宋体" w:cs="宋体"/>
                <w:kern w:val="0"/>
                <w:sz w:val="24"/>
                <w:lang w:bidi="ar"/>
              </w:rPr>
              <w:t>垃圾分类管理</w:t>
            </w:r>
            <w:r>
              <w:rPr>
                <w:rFonts w:ascii="DejaVuSans" w:hAnsi="DejaVuSans" w:eastAsia="DejaVuSans" w:cs="DejaVuSans"/>
                <w:kern w:val="0"/>
                <w:sz w:val="24"/>
                <w:lang w:bidi="ar"/>
              </w:rPr>
              <w:t>⑤</w:t>
            </w:r>
            <w:r>
              <w:rPr>
                <w:rFonts w:hint="eastAsia" w:ascii="宋体" w:hAnsi="宋体" w:cs="宋体"/>
                <w:kern w:val="0"/>
                <w:sz w:val="24"/>
                <w:lang w:bidi="ar"/>
              </w:rPr>
              <w:t>作业安全防护</w:t>
            </w:r>
            <w:r>
              <w:rPr>
                <w:rFonts w:ascii="DejaVuSans" w:hAnsi="DejaVuSans" w:eastAsia="DejaVuSans" w:cs="DejaVuSans"/>
                <w:kern w:val="0"/>
                <w:sz w:val="24"/>
                <w:lang w:bidi="ar"/>
              </w:rPr>
              <w:t>⑥</w:t>
            </w:r>
            <w:r>
              <w:rPr>
                <w:rFonts w:hint="eastAsia" w:ascii="宋体" w:hAnsi="宋体" w:cs="宋体"/>
                <w:kern w:val="0"/>
                <w:sz w:val="24"/>
                <w:lang w:bidi="ar"/>
              </w:rPr>
              <w:t xml:space="preserve">消杀管理。 </w:t>
            </w:r>
          </w:p>
          <w:p w14:paraId="62C132DA">
            <w:pPr>
              <w:widowControl/>
              <w:numPr>
                <w:ilvl w:val="0"/>
                <w:numId w:val="3"/>
              </w:numPr>
              <w:jc w:val="left"/>
              <w:rPr>
                <w:rFonts w:ascii="宋体" w:hAnsi="宋体" w:cs="宋体"/>
                <w:kern w:val="0"/>
                <w:sz w:val="24"/>
                <w:lang w:bidi="ar"/>
              </w:rPr>
            </w:pPr>
            <w:r>
              <w:rPr>
                <w:rFonts w:hint="eastAsia" w:ascii="宋体" w:hAnsi="宋体" w:cs="宋体"/>
                <w:kern w:val="0"/>
                <w:sz w:val="24"/>
                <w:lang w:bidi="ar"/>
              </w:rPr>
              <w:t>环境卫生管理及垃圾处理方案（ 包括但不限于：</w:t>
            </w:r>
            <w:r>
              <w:rPr>
                <w:rFonts w:ascii="DejaVuSans" w:hAnsi="DejaVuSans" w:eastAsia="DejaVuSans" w:cs="DejaVuSans"/>
                <w:kern w:val="0"/>
                <w:sz w:val="24"/>
                <w:lang w:bidi="ar"/>
              </w:rPr>
              <w:t>①</w:t>
            </w:r>
            <w:r>
              <w:rPr>
                <w:rFonts w:hint="eastAsia" w:ascii="宋体" w:hAnsi="宋体" w:cs="宋体"/>
                <w:kern w:val="0"/>
                <w:sz w:val="24"/>
                <w:lang w:bidi="ar"/>
              </w:rPr>
              <w:t xml:space="preserve">重点难点分析 </w:t>
            </w:r>
            <w:r>
              <w:rPr>
                <w:rFonts w:ascii="DejaVuSans" w:hAnsi="DejaVuSans" w:eastAsia="DejaVuSans" w:cs="DejaVuSans"/>
                <w:kern w:val="0"/>
                <w:sz w:val="24"/>
                <w:lang w:bidi="ar"/>
              </w:rPr>
              <w:t>②</w:t>
            </w:r>
            <w:r>
              <w:rPr>
                <w:rFonts w:hint="eastAsia" w:ascii="宋体" w:hAnsi="宋体" w:cs="宋体"/>
                <w:kern w:val="0"/>
                <w:sz w:val="24"/>
                <w:lang w:bidi="ar"/>
              </w:rPr>
              <w:t xml:space="preserve">保洁日常管理 </w:t>
            </w:r>
            <w:r>
              <w:rPr>
                <w:rFonts w:ascii="DejaVuSans" w:hAnsi="DejaVuSans" w:eastAsia="DejaVuSans" w:cs="DejaVuSans"/>
                <w:kern w:val="0"/>
                <w:sz w:val="24"/>
                <w:lang w:bidi="ar"/>
              </w:rPr>
              <w:t>③</w:t>
            </w:r>
            <w:r>
              <w:rPr>
                <w:rFonts w:hint="eastAsia" w:ascii="宋体" w:hAnsi="宋体" w:cs="宋体"/>
                <w:kern w:val="0"/>
                <w:sz w:val="24"/>
                <w:lang w:bidi="ar"/>
              </w:rPr>
              <w:t xml:space="preserve">作业流程 </w:t>
            </w:r>
            <w:r>
              <w:rPr>
                <w:rFonts w:ascii="DejaVuSans" w:hAnsi="DejaVuSans" w:eastAsia="DejaVuSans" w:cs="DejaVuSans"/>
                <w:kern w:val="0"/>
                <w:sz w:val="24"/>
                <w:lang w:bidi="ar"/>
              </w:rPr>
              <w:t>④</w:t>
            </w:r>
            <w:r>
              <w:rPr>
                <w:rFonts w:hint="eastAsia" w:ascii="宋体" w:hAnsi="宋体" w:cs="宋体"/>
                <w:kern w:val="0"/>
                <w:sz w:val="24"/>
                <w:lang w:bidi="ar"/>
              </w:rPr>
              <w:t xml:space="preserve">垃圾分类管理 </w:t>
            </w:r>
            <w:r>
              <w:rPr>
                <w:rFonts w:ascii="DejaVuSans" w:hAnsi="DejaVuSans" w:eastAsia="DejaVuSans" w:cs="DejaVuSans"/>
                <w:kern w:val="0"/>
                <w:sz w:val="24"/>
                <w:lang w:bidi="ar"/>
              </w:rPr>
              <w:t>⑤</w:t>
            </w:r>
            <w:r>
              <w:rPr>
                <w:rFonts w:hint="eastAsia" w:ascii="宋体" w:hAnsi="宋体" w:cs="宋体"/>
                <w:kern w:val="0"/>
                <w:sz w:val="24"/>
                <w:lang w:bidi="ar"/>
              </w:rPr>
              <w:t>作业安全防护</w:t>
            </w:r>
            <w:r>
              <w:rPr>
                <w:rFonts w:ascii="DejaVuSans" w:hAnsi="DejaVuSans" w:eastAsia="DejaVuSans" w:cs="DejaVuSans"/>
                <w:kern w:val="0"/>
                <w:sz w:val="24"/>
                <w:lang w:bidi="ar"/>
              </w:rPr>
              <w:t>⑥</w:t>
            </w:r>
            <w:r>
              <w:rPr>
                <w:rFonts w:hint="eastAsia" w:ascii="宋体" w:hAnsi="宋体" w:cs="宋体"/>
                <w:kern w:val="0"/>
                <w:sz w:val="24"/>
                <w:lang w:bidi="ar"/>
              </w:rPr>
              <w:t>消杀管理）框架清晰，内容具体详细，重点难点分析 到位，保洁日常管理、作业流程、垃圾分类管理、作业安全防护、消杀管 理内容详尽完善，能完全满足采购需求的得</w:t>
            </w:r>
            <w:r>
              <w:rPr>
                <w:rFonts w:hint="eastAsia" w:ascii="DejaVuSans" w:hAnsi="DejaVuSans" w:cs="DejaVuSans"/>
                <w:kern w:val="0"/>
                <w:sz w:val="24"/>
                <w:lang w:bidi="ar"/>
              </w:rPr>
              <w:t>5</w:t>
            </w:r>
            <w:r>
              <w:rPr>
                <w:rFonts w:hint="eastAsia" w:ascii="宋体" w:hAnsi="宋体" w:cs="宋体"/>
                <w:kern w:val="0"/>
                <w:sz w:val="24"/>
                <w:lang w:bidi="ar"/>
              </w:rPr>
              <w:t>分；</w:t>
            </w:r>
          </w:p>
          <w:p w14:paraId="02F44653">
            <w:pPr>
              <w:widowControl/>
              <w:numPr>
                <w:ilvl w:val="0"/>
                <w:numId w:val="3"/>
              </w:numPr>
              <w:jc w:val="left"/>
              <w:rPr>
                <w:rFonts w:ascii="宋体" w:hAnsi="宋体" w:cs="宋体"/>
                <w:kern w:val="0"/>
                <w:sz w:val="24"/>
                <w:lang w:bidi="ar"/>
              </w:rPr>
            </w:pPr>
            <w:r>
              <w:rPr>
                <w:rFonts w:hint="eastAsia" w:ascii="宋体" w:hAnsi="宋体" w:cs="宋体"/>
                <w:kern w:val="0"/>
                <w:sz w:val="24"/>
                <w:lang w:bidi="ar"/>
              </w:rPr>
              <w:t>环境卫生管理及垃圾 处理方案（包括但不限于：</w:t>
            </w:r>
            <w:r>
              <w:rPr>
                <w:rFonts w:ascii="DejaVuSans" w:hAnsi="DejaVuSans" w:eastAsia="DejaVuSans" w:cs="DejaVuSans"/>
                <w:kern w:val="0"/>
                <w:sz w:val="24"/>
                <w:lang w:bidi="ar"/>
              </w:rPr>
              <w:t>①</w:t>
            </w:r>
            <w:r>
              <w:rPr>
                <w:rFonts w:hint="eastAsia" w:ascii="宋体" w:hAnsi="宋体" w:cs="宋体"/>
                <w:kern w:val="0"/>
                <w:sz w:val="24"/>
                <w:lang w:bidi="ar"/>
              </w:rPr>
              <w:t xml:space="preserve">重点难点分析 </w:t>
            </w:r>
            <w:r>
              <w:rPr>
                <w:rFonts w:ascii="DejaVuSans" w:hAnsi="DejaVuSans" w:eastAsia="DejaVuSans" w:cs="DejaVuSans"/>
                <w:kern w:val="0"/>
                <w:sz w:val="24"/>
                <w:lang w:bidi="ar"/>
              </w:rPr>
              <w:t>②</w:t>
            </w:r>
            <w:r>
              <w:rPr>
                <w:rFonts w:hint="eastAsia" w:ascii="宋体" w:hAnsi="宋体" w:cs="宋体"/>
                <w:kern w:val="0"/>
                <w:sz w:val="24"/>
                <w:lang w:bidi="ar"/>
              </w:rPr>
              <w:t xml:space="preserve">保洁日常管理 </w:t>
            </w:r>
            <w:r>
              <w:rPr>
                <w:rFonts w:ascii="DejaVuSans" w:hAnsi="DejaVuSans" w:eastAsia="DejaVuSans" w:cs="DejaVuSans"/>
                <w:kern w:val="0"/>
                <w:sz w:val="24"/>
                <w:lang w:bidi="ar"/>
              </w:rPr>
              <w:t>③</w:t>
            </w:r>
            <w:r>
              <w:rPr>
                <w:rFonts w:hint="eastAsia" w:ascii="宋体" w:hAnsi="宋体" w:cs="宋体"/>
                <w:kern w:val="0"/>
                <w:sz w:val="24"/>
                <w:lang w:bidi="ar"/>
              </w:rPr>
              <w:t xml:space="preserve">作业流程 </w:t>
            </w:r>
            <w:r>
              <w:rPr>
                <w:rFonts w:ascii="DejaVuSans" w:hAnsi="DejaVuSans" w:eastAsia="DejaVuSans" w:cs="DejaVuSans"/>
                <w:kern w:val="0"/>
                <w:sz w:val="24"/>
                <w:lang w:bidi="ar"/>
              </w:rPr>
              <w:t xml:space="preserve">④ </w:t>
            </w:r>
            <w:r>
              <w:rPr>
                <w:rFonts w:hint="eastAsia" w:ascii="宋体" w:hAnsi="宋体" w:cs="宋体"/>
                <w:kern w:val="0"/>
                <w:sz w:val="24"/>
                <w:lang w:bidi="ar"/>
              </w:rPr>
              <w:t xml:space="preserve">垃圾分类管理 </w:t>
            </w:r>
            <w:r>
              <w:rPr>
                <w:rFonts w:ascii="DejaVuSans" w:hAnsi="DejaVuSans" w:eastAsia="DejaVuSans" w:cs="DejaVuSans"/>
                <w:kern w:val="0"/>
                <w:sz w:val="24"/>
                <w:lang w:bidi="ar"/>
              </w:rPr>
              <w:t>⑤</w:t>
            </w:r>
            <w:r>
              <w:rPr>
                <w:rFonts w:hint="eastAsia" w:ascii="宋体" w:hAnsi="宋体" w:cs="宋体"/>
                <w:kern w:val="0"/>
                <w:sz w:val="24"/>
                <w:lang w:bidi="ar"/>
              </w:rPr>
              <w:t>作业安全防护</w:t>
            </w:r>
            <w:r>
              <w:rPr>
                <w:rFonts w:ascii="DejaVuSans" w:hAnsi="DejaVuSans" w:eastAsia="DejaVuSans" w:cs="DejaVuSans"/>
                <w:kern w:val="0"/>
                <w:sz w:val="24"/>
                <w:lang w:bidi="ar"/>
              </w:rPr>
              <w:t>⑥</w:t>
            </w:r>
            <w:r>
              <w:rPr>
                <w:rFonts w:hint="eastAsia" w:ascii="宋体" w:hAnsi="宋体" w:cs="宋体"/>
                <w:kern w:val="0"/>
                <w:sz w:val="24"/>
                <w:lang w:bidi="ar"/>
              </w:rPr>
              <w:t>消杀管理）有基本框架，内容基本完整，有重点难点分析，保洁日常管理、作业流程、垃圾分类管理、作业安全防护、消杀管理内容基本完善，能基本满足采购需求的得</w:t>
            </w:r>
            <w:r>
              <w:rPr>
                <w:rFonts w:hint="eastAsia" w:ascii="DejaVuSans" w:hAnsi="DejaVuSans" w:cs="DejaVuSans"/>
                <w:kern w:val="0"/>
                <w:sz w:val="24"/>
                <w:lang w:bidi="ar"/>
              </w:rPr>
              <w:t>3</w:t>
            </w:r>
            <w:r>
              <w:rPr>
                <w:rFonts w:hint="eastAsia" w:ascii="宋体" w:hAnsi="宋体" w:cs="宋体"/>
                <w:kern w:val="0"/>
                <w:sz w:val="24"/>
                <w:lang w:bidi="ar"/>
              </w:rPr>
              <w:t>分；</w:t>
            </w:r>
          </w:p>
          <w:p w14:paraId="7C4BAD89">
            <w:pPr>
              <w:widowControl/>
              <w:numPr>
                <w:ilvl w:val="0"/>
                <w:numId w:val="3"/>
              </w:numPr>
              <w:jc w:val="left"/>
              <w:rPr>
                <w:rFonts w:ascii="宋体" w:hAnsi="宋体" w:cs="宋体"/>
                <w:kern w:val="0"/>
                <w:sz w:val="24"/>
                <w:lang w:bidi="ar"/>
              </w:rPr>
            </w:pPr>
            <w:r>
              <w:rPr>
                <w:rFonts w:hint="eastAsia" w:ascii="宋体" w:hAnsi="宋体" w:cs="宋体"/>
                <w:kern w:val="0"/>
                <w:sz w:val="24"/>
                <w:lang w:bidi="ar"/>
              </w:rPr>
              <w:t>环境卫生管理及垃圾处理方案（包括但不限于；</w:t>
            </w:r>
            <w:r>
              <w:rPr>
                <w:rFonts w:ascii="DejaVuSans" w:hAnsi="DejaVuSans" w:eastAsia="DejaVuSans" w:cs="DejaVuSans"/>
                <w:kern w:val="0"/>
                <w:sz w:val="24"/>
                <w:lang w:bidi="ar"/>
              </w:rPr>
              <w:t>①</w:t>
            </w:r>
            <w:r>
              <w:rPr>
                <w:rFonts w:hint="eastAsia" w:ascii="宋体" w:hAnsi="宋体" w:cs="宋体"/>
                <w:kern w:val="0"/>
                <w:sz w:val="24"/>
                <w:lang w:bidi="ar"/>
              </w:rPr>
              <w:t xml:space="preserve">重点难点分析 </w:t>
            </w:r>
            <w:r>
              <w:rPr>
                <w:rFonts w:ascii="DejaVuSans" w:hAnsi="DejaVuSans" w:eastAsia="DejaVuSans" w:cs="DejaVuSans"/>
                <w:kern w:val="0"/>
                <w:sz w:val="24"/>
                <w:lang w:bidi="ar"/>
              </w:rPr>
              <w:t>②</w:t>
            </w:r>
            <w:r>
              <w:rPr>
                <w:rFonts w:hint="eastAsia" w:ascii="宋体" w:hAnsi="宋体" w:cs="宋体"/>
                <w:kern w:val="0"/>
                <w:sz w:val="24"/>
                <w:lang w:bidi="ar"/>
              </w:rPr>
              <w:t xml:space="preserve">保洁日常管理 </w:t>
            </w:r>
            <w:r>
              <w:rPr>
                <w:rFonts w:ascii="DejaVuSans" w:hAnsi="DejaVuSans" w:eastAsia="DejaVuSans" w:cs="DejaVuSans"/>
                <w:kern w:val="0"/>
                <w:sz w:val="24"/>
                <w:lang w:bidi="ar"/>
              </w:rPr>
              <w:t xml:space="preserve">③ </w:t>
            </w:r>
            <w:r>
              <w:rPr>
                <w:rFonts w:hint="eastAsia" w:ascii="宋体" w:hAnsi="宋体" w:cs="宋体"/>
                <w:kern w:val="0"/>
                <w:sz w:val="24"/>
                <w:lang w:bidi="ar"/>
              </w:rPr>
              <w:t xml:space="preserve">作业流程 </w:t>
            </w:r>
            <w:r>
              <w:rPr>
                <w:rFonts w:ascii="DejaVuSans" w:hAnsi="DejaVuSans" w:eastAsia="DejaVuSans" w:cs="DejaVuSans"/>
                <w:kern w:val="0"/>
                <w:sz w:val="24"/>
                <w:lang w:bidi="ar"/>
              </w:rPr>
              <w:t>④</w:t>
            </w:r>
            <w:r>
              <w:rPr>
                <w:rFonts w:hint="eastAsia" w:ascii="宋体" w:hAnsi="宋体" w:cs="宋体"/>
                <w:kern w:val="0"/>
                <w:sz w:val="24"/>
                <w:lang w:bidi="ar"/>
              </w:rPr>
              <w:t xml:space="preserve">垃圾分类管理 </w:t>
            </w:r>
            <w:r>
              <w:rPr>
                <w:rFonts w:ascii="DejaVuSans" w:hAnsi="DejaVuSans" w:eastAsia="DejaVuSans" w:cs="DejaVuSans"/>
                <w:kern w:val="0"/>
                <w:sz w:val="24"/>
                <w:lang w:bidi="ar"/>
              </w:rPr>
              <w:t>⑤</w:t>
            </w:r>
            <w:r>
              <w:rPr>
                <w:rFonts w:hint="eastAsia" w:ascii="宋体" w:hAnsi="宋体" w:cs="宋体"/>
                <w:kern w:val="0"/>
                <w:sz w:val="24"/>
                <w:lang w:bidi="ar"/>
              </w:rPr>
              <w:t>作业安全防护</w:t>
            </w:r>
            <w:r>
              <w:rPr>
                <w:rFonts w:ascii="DejaVuSans" w:hAnsi="DejaVuSans" w:eastAsia="DejaVuSans" w:cs="DejaVuSans"/>
                <w:kern w:val="0"/>
                <w:sz w:val="24"/>
                <w:lang w:bidi="ar"/>
              </w:rPr>
              <w:t>⑥</w:t>
            </w:r>
            <w:r>
              <w:rPr>
                <w:rFonts w:hint="eastAsia" w:ascii="宋体" w:hAnsi="宋体" w:cs="宋体"/>
                <w:kern w:val="0"/>
                <w:sz w:val="24"/>
                <w:lang w:bidi="ar"/>
              </w:rPr>
              <w:t>消杀管理）框架不清晰，重点难点分析、保洁日常管理、作业流程、垃圾分类管理、作业安全防护、消杀管理内容有缺漏或不可行，不能满足采购需求的得</w:t>
            </w:r>
            <w:r>
              <w:rPr>
                <w:rFonts w:hint="eastAsia" w:ascii="DejaVuSans" w:hAnsi="DejaVuSans" w:cs="DejaVuSans"/>
                <w:kern w:val="0"/>
                <w:sz w:val="24"/>
                <w:lang w:bidi="ar"/>
              </w:rPr>
              <w:t>1</w:t>
            </w:r>
            <w:r>
              <w:rPr>
                <w:rFonts w:hint="eastAsia" w:ascii="宋体" w:hAnsi="宋体" w:cs="宋体"/>
                <w:kern w:val="0"/>
                <w:sz w:val="24"/>
                <w:lang w:bidi="ar"/>
              </w:rPr>
              <w:t xml:space="preserve">分； </w:t>
            </w:r>
          </w:p>
          <w:p w14:paraId="18987100">
            <w:pPr>
              <w:widowControl/>
              <w:jc w:val="left"/>
              <w:rPr>
                <w:rFonts w:ascii="宋体" w:hAnsi="宋体" w:cs="宋体"/>
                <w:sz w:val="24"/>
                <w:highlight w:val="white"/>
              </w:rPr>
            </w:pPr>
            <w:r>
              <w:rPr>
                <w:rFonts w:ascii="DejaVuSans" w:hAnsi="DejaVuSans" w:eastAsia="DejaVuSans" w:cs="DejaVuSans"/>
                <w:kern w:val="0"/>
                <w:sz w:val="24"/>
                <w:lang w:bidi="ar"/>
              </w:rPr>
              <w:t xml:space="preserve">4. </w:t>
            </w:r>
            <w:r>
              <w:rPr>
                <w:rFonts w:hint="eastAsia" w:ascii="宋体" w:hAnsi="宋体" w:cs="宋体"/>
                <w:kern w:val="0"/>
                <w:sz w:val="24"/>
                <w:lang w:bidi="ar"/>
              </w:rPr>
              <w:t>不提供不得分。</w:t>
            </w:r>
          </w:p>
        </w:tc>
        <w:tc>
          <w:tcPr>
            <w:tcW w:w="862" w:type="dxa"/>
            <w:tcMar>
              <w:top w:w="85" w:type="dxa"/>
              <w:bottom w:w="85" w:type="dxa"/>
            </w:tcMar>
            <w:vAlign w:val="center"/>
          </w:tcPr>
          <w:p w14:paraId="05E31535">
            <w:pPr>
              <w:adjustRightInd w:val="0"/>
              <w:snapToGrid w:val="0"/>
              <w:jc w:val="center"/>
              <w:rPr>
                <w:rFonts w:ascii="宋体" w:hAnsi="宋体"/>
                <w:szCs w:val="21"/>
              </w:rPr>
            </w:pPr>
            <w:r>
              <w:rPr>
                <w:rFonts w:hint="eastAsia" w:ascii="宋体" w:hAnsi="宋体"/>
                <w:szCs w:val="21"/>
              </w:rPr>
              <w:t>5</w:t>
            </w:r>
          </w:p>
        </w:tc>
      </w:tr>
      <w:tr w14:paraId="54D7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1DEB7ED3">
            <w:pPr>
              <w:tabs>
                <w:tab w:val="left" w:pos="142"/>
              </w:tabs>
              <w:adjustRightInd w:val="0"/>
              <w:snapToGrid w:val="0"/>
              <w:jc w:val="center"/>
              <w:rPr>
                <w:rFonts w:ascii="宋体" w:cs="宋体"/>
                <w:szCs w:val="21"/>
              </w:rPr>
            </w:pPr>
            <w:r>
              <w:rPr>
                <w:rFonts w:hint="eastAsia" w:ascii="宋体" w:cs="宋体"/>
                <w:szCs w:val="21"/>
              </w:rPr>
              <w:t>3</w:t>
            </w:r>
          </w:p>
        </w:tc>
        <w:tc>
          <w:tcPr>
            <w:tcW w:w="2326" w:type="dxa"/>
            <w:tcMar>
              <w:top w:w="85" w:type="dxa"/>
              <w:bottom w:w="85" w:type="dxa"/>
            </w:tcMar>
            <w:vAlign w:val="center"/>
          </w:tcPr>
          <w:p w14:paraId="03B99643">
            <w:pPr>
              <w:widowControl/>
              <w:jc w:val="left"/>
              <w:rPr>
                <w:sz w:val="24"/>
              </w:rPr>
            </w:pPr>
            <w:r>
              <w:rPr>
                <w:rFonts w:hint="eastAsia" w:ascii="宋体" w:hAnsi="宋体" w:cs="宋体"/>
                <w:kern w:val="0"/>
                <w:sz w:val="24"/>
                <w:lang w:bidi="ar"/>
              </w:rPr>
              <w:t xml:space="preserve">应急响应处置方案 </w:t>
            </w:r>
            <w:r>
              <w:rPr>
                <w:rFonts w:hint="eastAsia" w:ascii="DejaVuSans" w:hAnsi="DejaVuSans" w:cs="DejaVuSans"/>
                <w:kern w:val="0"/>
                <w:sz w:val="24"/>
                <w:lang w:bidi="ar"/>
              </w:rPr>
              <w:t>（5.0分）</w:t>
            </w:r>
          </w:p>
          <w:p w14:paraId="19F6E13C">
            <w:pPr>
              <w:jc w:val="center"/>
              <w:rPr>
                <w:rFonts w:ascii="宋体" w:hAnsi="宋体" w:cs="宋体"/>
                <w:sz w:val="24"/>
                <w:highlight w:val="white"/>
              </w:rPr>
            </w:pPr>
          </w:p>
        </w:tc>
        <w:tc>
          <w:tcPr>
            <w:tcW w:w="5760" w:type="dxa"/>
            <w:tcMar>
              <w:top w:w="85" w:type="dxa"/>
              <w:bottom w:w="85" w:type="dxa"/>
            </w:tcMar>
            <w:vAlign w:val="center"/>
          </w:tcPr>
          <w:p w14:paraId="52DC2113">
            <w:pPr>
              <w:widowControl/>
              <w:jc w:val="left"/>
              <w:rPr>
                <w:rFonts w:ascii="宋体" w:hAnsi="宋体" w:cs="宋体"/>
                <w:kern w:val="0"/>
                <w:sz w:val="24"/>
                <w:lang w:bidi="ar"/>
              </w:rPr>
            </w:pPr>
            <w:r>
              <w:rPr>
                <w:rFonts w:hint="eastAsia" w:ascii="宋体" w:hAnsi="宋体" w:cs="宋体"/>
                <w:kern w:val="0"/>
                <w:sz w:val="24"/>
                <w:lang w:bidi="ar"/>
              </w:rPr>
              <w:t>投标人针对本项目实际需求提供如下应急响应处置方案进行打分，至少包 括以下</w:t>
            </w:r>
            <w:r>
              <w:rPr>
                <w:rFonts w:ascii="DejaVuSans" w:hAnsi="DejaVuSans" w:eastAsia="DejaVuSans" w:cs="DejaVuSans"/>
                <w:kern w:val="0"/>
                <w:sz w:val="24"/>
                <w:lang w:bidi="ar"/>
              </w:rPr>
              <w:t>5</w:t>
            </w:r>
            <w:r>
              <w:rPr>
                <w:rFonts w:hint="eastAsia" w:ascii="宋体" w:hAnsi="宋体" w:cs="宋体"/>
                <w:kern w:val="0"/>
                <w:sz w:val="24"/>
                <w:lang w:bidi="ar"/>
              </w:rPr>
              <w:t>点内容：</w:t>
            </w:r>
            <w:r>
              <w:rPr>
                <w:rFonts w:ascii="DejaVuSans" w:hAnsi="DejaVuSans" w:eastAsia="DejaVuSans" w:cs="DejaVuSans"/>
                <w:kern w:val="0"/>
                <w:sz w:val="24"/>
                <w:lang w:bidi="ar"/>
              </w:rPr>
              <w:t>①</w:t>
            </w:r>
            <w:r>
              <w:rPr>
                <w:rFonts w:hint="eastAsia" w:ascii="宋体" w:hAnsi="宋体" w:cs="宋体"/>
                <w:kern w:val="0"/>
                <w:sz w:val="24"/>
                <w:lang w:bidi="ar"/>
              </w:rPr>
              <w:t>人员聚集性突发事件维稳应急预案</w:t>
            </w:r>
            <w:r>
              <w:rPr>
                <w:rFonts w:ascii="DejaVuSans" w:hAnsi="DejaVuSans" w:eastAsia="DejaVuSans" w:cs="DejaVuSans"/>
                <w:kern w:val="0"/>
                <w:sz w:val="24"/>
                <w:lang w:bidi="ar"/>
              </w:rPr>
              <w:t>②</w:t>
            </w:r>
            <w:r>
              <w:rPr>
                <w:rFonts w:hint="eastAsia" w:ascii="宋体" w:hAnsi="宋体" w:cs="宋体"/>
                <w:kern w:val="0"/>
                <w:sz w:val="24"/>
                <w:lang w:bidi="ar"/>
              </w:rPr>
              <w:t>地震、火灾应急预案</w:t>
            </w:r>
            <w:r>
              <w:rPr>
                <w:rFonts w:ascii="DejaVuSans" w:hAnsi="DejaVuSans" w:eastAsia="DejaVuSans" w:cs="DejaVuSans"/>
                <w:kern w:val="0"/>
                <w:sz w:val="24"/>
                <w:lang w:bidi="ar"/>
              </w:rPr>
              <w:t>③</w:t>
            </w:r>
            <w:r>
              <w:rPr>
                <w:rFonts w:hint="eastAsia" w:ascii="宋体" w:hAnsi="宋体" w:cs="宋体"/>
                <w:kern w:val="0"/>
                <w:sz w:val="24"/>
                <w:lang w:bidi="ar"/>
              </w:rPr>
              <w:t>台风、暴雨应急预案</w:t>
            </w:r>
            <w:r>
              <w:rPr>
                <w:rFonts w:ascii="DejaVuSans" w:hAnsi="DejaVuSans" w:eastAsia="DejaVuSans" w:cs="DejaVuSans"/>
                <w:kern w:val="0"/>
                <w:sz w:val="24"/>
                <w:lang w:bidi="ar"/>
              </w:rPr>
              <w:t>④</w:t>
            </w:r>
            <w:r>
              <w:rPr>
                <w:rFonts w:hint="eastAsia" w:ascii="宋体" w:hAnsi="宋体" w:cs="宋体"/>
                <w:kern w:val="0"/>
                <w:sz w:val="24"/>
                <w:lang w:bidi="ar"/>
              </w:rPr>
              <w:t>停水、停电、设备故障应急预案</w:t>
            </w:r>
            <w:r>
              <w:rPr>
                <w:rFonts w:ascii="DejaVuSans" w:hAnsi="DejaVuSans" w:eastAsia="DejaVuSans" w:cs="DejaVuSans"/>
                <w:kern w:val="0"/>
                <w:sz w:val="24"/>
                <w:lang w:bidi="ar"/>
              </w:rPr>
              <w:t>⑤</w:t>
            </w:r>
            <w:r>
              <w:rPr>
                <w:rFonts w:hint="eastAsia" w:ascii="宋体" w:hAnsi="宋体" w:cs="宋体"/>
                <w:kern w:val="0"/>
                <w:sz w:val="24"/>
                <w:lang w:bidi="ar"/>
              </w:rPr>
              <w:t xml:space="preserve">公共卫生事件（含疫情防控）应急预案。 </w:t>
            </w:r>
          </w:p>
          <w:p w14:paraId="40E0B15C">
            <w:pPr>
              <w:widowControl/>
              <w:jc w:val="left"/>
              <w:rPr>
                <w:sz w:val="24"/>
              </w:rPr>
            </w:pPr>
            <w:r>
              <w:rPr>
                <w:rFonts w:ascii="DejaVuSans" w:hAnsi="DejaVuSans" w:eastAsia="DejaVuSans" w:cs="DejaVuSans"/>
                <w:kern w:val="0"/>
                <w:sz w:val="24"/>
                <w:lang w:bidi="ar"/>
              </w:rPr>
              <w:t>1.</w:t>
            </w:r>
            <w:r>
              <w:rPr>
                <w:rFonts w:hint="eastAsia" w:ascii="宋体" w:hAnsi="宋体" w:cs="宋体"/>
                <w:kern w:val="0"/>
                <w:sz w:val="24"/>
                <w:lang w:bidi="ar"/>
              </w:rPr>
              <w:t>应急响应处置方案（包括但不限于：</w:t>
            </w:r>
            <w:r>
              <w:rPr>
                <w:rFonts w:ascii="DejaVuSans" w:hAnsi="DejaVuSans" w:eastAsia="DejaVuSans" w:cs="DejaVuSans"/>
                <w:kern w:val="0"/>
                <w:sz w:val="24"/>
                <w:lang w:bidi="ar"/>
              </w:rPr>
              <w:t>①</w:t>
            </w:r>
            <w:r>
              <w:rPr>
                <w:rFonts w:hint="eastAsia" w:ascii="宋体" w:hAnsi="宋体" w:cs="宋体"/>
                <w:kern w:val="0"/>
                <w:sz w:val="24"/>
                <w:lang w:bidi="ar"/>
              </w:rPr>
              <w:t>人员聚集性突发事件维稳应急预案</w:t>
            </w:r>
            <w:r>
              <w:rPr>
                <w:rFonts w:ascii="DejaVuSans" w:hAnsi="DejaVuSans" w:eastAsia="DejaVuSans" w:cs="DejaVuSans"/>
                <w:kern w:val="0"/>
                <w:sz w:val="24"/>
                <w:lang w:bidi="ar"/>
              </w:rPr>
              <w:t>②</w:t>
            </w:r>
            <w:r>
              <w:rPr>
                <w:rFonts w:hint="eastAsia" w:ascii="宋体" w:hAnsi="宋体" w:cs="宋体"/>
                <w:kern w:val="0"/>
                <w:sz w:val="24"/>
                <w:lang w:bidi="ar"/>
              </w:rPr>
              <w:t>地震、火灾应急预案</w:t>
            </w:r>
            <w:r>
              <w:rPr>
                <w:rFonts w:ascii="DejaVuSans" w:hAnsi="DejaVuSans" w:eastAsia="DejaVuSans" w:cs="DejaVuSans"/>
                <w:kern w:val="0"/>
                <w:sz w:val="24"/>
                <w:lang w:bidi="ar"/>
              </w:rPr>
              <w:t>③</w:t>
            </w:r>
            <w:r>
              <w:rPr>
                <w:rFonts w:hint="eastAsia" w:ascii="宋体" w:hAnsi="宋体" w:cs="宋体"/>
                <w:kern w:val="0"/>
                <w:sz w:val="24"/>
                <w:lang w:bidi="ar"/>
              </w:rPr>
              <w:t>台风、暴雨应急预案</w:t>
            </w:r>
            <w:r>
              <w:rPr>
                <w:rFonts w:ascii="DejaVuSans" w:hAnsi="DejaVuSans" w:eastAsia="DejaVuSans" w:cs="DejaVuSans"/>
                <w:kern w:val="0"/>
                <w:sz w:val="24"/>
                <w:lang w:bidi="ar"/>
              </w:rPr>
              <w:t>④</w:t>
            </w:r>
            <w:r>
              <w:rPr>
                <w:rFonts w:hint="eastAsia" w:ascii="宋体" w:hAnsi="宋体" w:cs="宋体"/>
                <w:kern w:val="0"/>
                <w:sz w:val="24"/>
                <w:lang w:bidi="ar"/>
              </w:rPr>
              <w:t>停水、停电、设备故障应急预案</w:t>
            </w:r>
            <w:r>
              <w:rPr>
                <w:rFonts w:ascii="DejaVuSans" w:hAnsi="DejaVuSans" w:eastAsia="DejaVuSans" w:cs="DejaVuSans"/>
                <w:kern w:val="0"/>
                <w:sz w:val="24"/>
                <w:lang w:bidi="ar"/>
              </w:rPr>
              <w:t>⑤</w:t>
            </w:r>
            <w:r>
              <w:rPr>
                <w:rFonts w:hint="eastAsia" w:ascii="宋体" w:hAnsi="宋体" w:cs="宋体"/>
                <w:kern w:val="0"/>
                <w:sz w:val="24"/>
                <w:lang w:bidi="ar"/>
              </w:rPr>
              <w:t xml:space="preserve">公共卫生事件（含疫情防控）应急预案）完整详细，能切实保障本项目服务及时性及连续性，能完全满足 </w:t>
            </w:r>
          </w:p>
          <w:p w14:paraId="51E75DB6">
            <w:pPr>
              <w:widowControl/>
              <w:jc w:val="left"/>
              <w:rPr>
                <w:rFonts w:ascii="宋体" w:hAnsi="宋体" w:cs="宋体"/>
                <w:kern w:val="0"/>
                <w:sz w:val="24"/>
                <w:lang w:bidi="ar"/>
              </w:rPr>
            </w:pPr>
            <w:r>
              <w:rPr>
                <w:rFonts w:hint="eastAsia" w:ascii="宋体" w:hAnsi="宋体" w:cs="宋体"/>
                <w:kern w:val="0"/>
                <w:sz w:val="24"/>
                <w:lang w:bidi="ar"/>
              </w:rPr>
              <w:t>采购需求的得</w:t>
            </w:r>
            <w:r>
              <w:rPr>
                <w:rFonts w:hint="eastAsia" w:ascii="DejaVuSans" w:hAnsi="DejaVuSans" w:cs="DejaVuSans"/>
                <w:kern w:val="0"/>
                <w:sz w:val="24"/>
                <w:lang w:bidi="ar"/>
              </w:rPr>
              <w:t>5</w:t>
            </w:r>
            <w:r>
              <w:rPr>
                <w:rFonts w:hint="eastAsia" w:ascii="宋体" w:hAnsi="宋体" w:cs="宋体"/>
                <w:kern w:val="0"/>
                <w:sz w:val="24"/>
                <w:lang w:bidi="ar"/>
              </w:rPr>
              <w:t xml:space="preserve">分； </w:t>
            </w:r>
          </w:p>
          <w:p w14:paraId="43D9AEE1">
            <w:pPr>
              <w:widowControl/>
              <w:jc w:val="left"/>
              <w:rPr>
                <w:sz w:val="24"/>
              </w:rPr>
            </w:pPr>
            <w:r>
              <w:rPr>
                <w:rFonts w:ascii="DejaVuSans" w:hAnsi="DejaVuSans" w:eastAsia="DejaVuSans" w:cs="DejaVuSans"/>
                <w:kern w:val="0"/>
                <w:sz w:val="24"/>
                <w:lang w:bidi="ar"/>
              </w:rPr>
              <w:t>2.</w:t>
            </w:r>
            <w:r>
              <w:rPr>
                <w:rFonts w:hint="eastAsia" w:ascii="宋体" w:hAnsi="宋体" w:cs="宋体"/>
                <w:kern w:val="0"/>
                <w:sz w:val="24"/>
                <w:lang w:bidi="ar"/>
              </w:rPr>
              <w:t>方案（包括但不限于：</w:t>
            </w:r>
            <w:r>
              <w:rPr>
                <w:rFonts w:ascii="DejaVuSans" w:hAnsi="DejaVuSans" w:eastAsia="DejaVuSans" w:cs="DejaVuSans"/>
                <w:kern w:val="0"/>
                <w:sz w:val="24"/>
                <w:lang w:bidi="ar"/>
              </w:rPr>
              <w:t>①</w:t>
            </w:r>
            <w:r>
              <w:rPr>
                <w:rFonts w:hint="eastAsia" w:ascii="宋体" w:hAnsi="宋体" w:cs="宋体"/>
                <w:kern w:val="0"/>
                <w:sz w:val="24"/>
                <w:lang w:bidi="ar"/>
              </w:rPr>
              <w:t xml:space="preserve">人员聚集性突发事件维稳 </w:t>
            </w:r>
          </w:p>
          <w:p w14:paraId="3CBC831B">
            <w:pPr>
              <w:widowControl/>
              <w:jc w:val="left"/>
              <w:rPr>
                <w:sz w:val="24"/>
              </w:rPr>
            </w:pPr>
            <w:r>
              <w:rPr>
                <w:rFonts w:hint="eastAsia" w:ascii="宋体" w:hAnsi="宋体" w:cs="宋体"/>
                <w:kern w:val="0"/>
                <w:sz w:val="24"/>
                <w:lang w:bidi="ar"/>
              </w:rPr>
              <w:t>应急预案</w:t>
            </w:r>
            <w:r>
              <w:rPr>
                <w:rFonts w:ascii="DejaVuSans" w:hAnsi="DejaVuSans" w:eastAsia="DejaVuSans" w:cs="DejaVuSans"/>
                <w:kern w:val="0"/>
                <w:sz w:val="24"/>
                <w:lang w:bidi="ar"/>
              </w:rPr>
              <w:t>②</w:t>
            </w:r>
            <w:r>
              <w:rPr>
                <w:rFonts w:hint="eastAsia" w:ascii="宋体" w:hAnsi="宋体" w:cs="宋体"/>
                <w:kern w:val="0"/>
                <w:sz w:val="24"/>
                <w:lang w:bidi="ar"/>
              </w:rPr>
              <w:t>地震、火灾应急预案</w:t>
            </w:r>
            <w:r>
              <w:rPr>
                <w:rFonts w:ascii="DejaVuSans" w:hAnsi="DejaVuSans" w:eastAsia="DejaVuSans" w:cs="DejaVuSans"/>
                <w:kern w:val="0"/>
                <w:sz w:val="24"/>
                <w:lang w:bidi="ar"/>
              </w:rPr>
              <w:t>③</w:t>
            </w:r>
            <w:r>
              <w:rPr>
                <w:rFonts w:hint="eastAsia" w:ascii="宋体" w:hAnsi="宋体" w:cs="宋体"/>
                <w:kern w:val="0"/>
                <w:sz w:val="24"/>
                <w:lang w:bidi="ar"/>
              </w:rPr>
              <w:t>台风、暴雨应急预案</w:t>
            </w:r>
            <w:r>
              <w:rPr>
                <w:rFonts w:ascii="DejaVuSans" w:hAnsi="DejaVuSans" w:eastAsia="DejaVuSans" w:cs="DejaVuSans"/>
                <w:kern w:val="0"/>
                <w:sz w:val="24"/>
                <w:lang w:bidi="ar"/>
              </w:rPr>
              <w:t>④</w:t>
            </w:r>
            <w:r>
              <w:rPr>
                <w:rFonts w:hint="eastAsia" w:ascii="宋体" w:hAnsi="宋体" w:cs="宋体"/>
                <w:kern w:val="0"/>
                <w:sz w:val="24"/>
                <w:lang w:bidi="ar"/>
              </w:rPr>
              <w:t>停水、停电、设备故障应急预案</w:t>
            </w:r>
            <w:r>
              <w:rPr>
                <w:rFonts w:ascii="DejaVuSans" w:hAnsi="DejaVuSans" w:eastAsia="DejaVuSans" w:cs="DejaVuSans"/>
                <w:kern w:val="0"/>
                <w:sz w:val="24"/>
                <w:lang w:bidi="ar"/>
              </w:rPr>
              <w:t>⑤</w:t>
            </w:r>
            <w:r>
              <w:rPr>
                <w:rFonts w:hint="eastAsia" w:ascii="宋体" w:hAnsi="宋体" w:cs="宋体"/>
                <w:kern w:val="0"/>
                <w:sz w:val="24"/>
                <w:lang w:bidi="ar"/>
              </w:rPr>
              <w:t>公共卫生事件（含疫情防控）应急预案）内容基本完整 ，能基本保障本项目服务及时性及连续性，能基本满足采购需求的得</w:t>
            </w:r>
            <w:r>
              <w:rPr>
                <w:rFonts w:hint="eastAsia" w:ascii="DejaVuSans" w:hAnsi="DejaVuSans" w:cs="DejaVuSans"/>
                <w:kern w:val="0"/>
                <w:sz w:val="24"/>
                <w:lang w:bidi="ar"/>
              </w:rPr>
              <w:t>3</w:t>
            </w:r>
            <w:r>
              <w:rPr>
                <w:rFonts w:hint="eastAsia" w:ascii="宋体" w:hAnsi="宋体" w:cs="宋体"/>
                <w:kern w:val="0"/>
                <w:sz w:val="24"/>
                <w:lang w:bidi="ar"/>
              </w:rPr>
              <w:t xml:space="preserve">分； </w:t>
            </w:r>
          </w:p>
          <w:p w14:paraId="5E176158">
            <w:pPr>
              <w:widowControl/>
              <w:jc w:val="left"/>
              <w:rPr>
                <w:rFonts w:ascii="宋体" w:hAnsi="宋体" w:cs="宋体"/>
                <w:kern w:val="0"/>
                <w:sz w:val="24"/>
                <w:lang w:bidi="ar"/>
              </w:rPr>
            </w:pPr>
            <w:r>
              <w:rPr>
                <w:rFonts w:hint="eastAsia" w:ascii="宋体" w:hAnsi="宋体" w:cs="宋体"/>
                <w:kern w:val="0"/>
                <w:sz w:val="24"/>
                <w:lang w:bidi="ar"/>
              </w:rPr>
              <w:t>3.方案（包括但不限于：</w:t>
            </w:r>
            <w:r>
              <w:rPr>
                <w:rFonts w:ascii="DejaVuSans" w:hAnsi="DejaVuSans" w:eastAsia="DejaVuSans" w:cs="DejaVuSans"/>
                <w:kern w:val="0"/>
                <w:sz w:val="24"/>
                <w:lang w:bidi="ar"/>
              </w:rPr>
              <w:t>①</w:t>
            </w:r>
            <w:r>
              <w:rPr>
                <w:rFonts w:hint="eastAsia" w:ascii="宋体" w:hAnsi="宋体" w:cs="宋体"/>
                <w:kern w:val="0"/>
                <w:sz w:val="24"/>
                <w:lang w:bidi="ar"/>
              </w:rPr>
              <w:t>人员聚集性突发事件维稳应急预案</w:t>
            </w:r>
            <w:r>
              <w:rPr>
                <w:rFonts w:ascii="DejaVuSans" w:hAnsi="DejaVuSans" w:eastAsia="DejaVuSans" w:cs="DejaVuSans"/>
                <w:kern w:val="0"/>
                <w:sz w:val="24"/>
                <w:lang w:bidi="ar"/>
              </w:rPr>
              <w:t>②</w:t>
            </w:r>
            <w:r>
              <w:rPr>
                <w:rFonts w:hint="eastAsia" w:ascii="宋体" w:hAnsi="宋体" w:cs="宋体"/>
                <w:kern w:val="0"/>
                <w:sz w:val="24"/>
                <w:lang w:bidi="ar"/>
              </w:rPr>
              <w:t>地震、火灾应急预案</w:t>
            </w:r>
            <w:r>
              <w:rPr>
                <w:rFonts w:ascii="DejaVuSans" w:hAnsi="DejaVuSans" w:eastAsia="DejaVuSans" w:cs="DejaVuSans"/>
                <w:kern w:val="0"/>
                <w:sz w:val="24"/>
                <w:lang w:bidi="ar"/>
              </w:rPr>
              <w:t>③</w:t>
            </w:r>
            <w:r>
              <w:rPr>
                <w:rFonts w:hint="eastAsia" w:ascii="宋体" w:hAnsi="宋体" w:cs="宋体"/>
                <w:kern w:val="0"/>
                <w:sz w:val="24"/>
                <w:lang w:bidi="ar"/>
              </w:rPr>
              <w:t>台风、暴雨应急预案</w:t>
            </w:r>
            <w:r>
              <w:rPr>
                <w:rFonts w:ascii="DejaVuSans" w:hAnsi="DejaVuSans" w:eastAsia="DejaVuSans" w:cs="DejaVuSans"/>
                <w:kern w:val="0"/>
                <w:sz w:val="24"/>
                <w:lang w:bidi="ar"/>
              </w:rPr>
              <w:t>④</w:t>
            </w:r>
            <w:r>
              <w:rPr>
                <w:rFonts w:hint="eastAsia" w:ascii="宋体" w:hAnsi="宋体" w:cs="宋体"/>
                <w:kern w:val="0"/>
                <w:sz w:val="24"/>
                <w:lang w:bidi="ar"/>
              </w:rPr>
              <w:t>停水、停电、设备故障应急预案</w:t>
            </w:r>
            <w:r>
              <w:rPr>
                <w:rFonts w:ascii="DejaVuSans" w:hAnsi="DejaVuSans" w:eastAsia="DejaVuSans" w:cs="DejaVuSans"/>
                <w:kern w:val="0"/>
                <w:sz w:val="24"/>
                <w:lang w:bidi="ar"/>
              </w:rPr>
              <w:t xml:space="preserve">⑤ </w:t>
            </w:r>
            <w:r>
              <w:rPr>
                <w:rFonts w:hint="eastAsia" w:ascii="宋体" w:hAnsi="宋体" w:cs="宋体"/>
                <w:kern w:val="0"/>
                <w:sz w:val="24"/>
                <w:lang w:bidi="ar"/>
              </w:rPr>
              <w:t>公共卫生事件（含疫情防控）应急预案）有缺漏或不可行，难以保障本项目服务及时性及连续性，不能满足采购需求的得</w:t>
            </w:r>
            <w:r>
              <w:rPr>
                <w:rFonts w:hint="eastAsia" w:ascii="DejaVuSans" w:hAnsi="DejaVuSans" w:cs="DejaVuSans"/>
                <w:kern w:val="0"/>
                <w:sz w:val="24"/>
                <w:lang w:bidi="ar"/>
              </w:rPr>
              <w:t>1</w:t>
            </w:r>
            <w:r>
              <w:rPr>
                <w:rFonts w:hint="eastAsia" w:ascii="宋体" w:hAnsi="宋体" w:cs="宋体"/>
                <w:kern w:val="0"/>
                <w:sz w:val="24"/>
                <w:lang w:bidi="ar"/>
              </w:rPr>
              <w:t xml:space="preserve">分； </w:t>
            </w:r>
          </w:p>
          <w:p w14:paraId="340F49CC">
            <w:pPr>
              <w:widowControl/>
              <w:jc w:val="left"/>
              <w:rPr>
                <w:rFonts w:ascii="宋体" w:hAnsi="宋体" w:cs="宋体"/>
                <w:sz w:val="24"/>
                <w:highlight w:val="white"/>
              </w:rPr>
            </w:pPr>
            <w:r>
              <w:rPr>
                <w:rFonts w:hint="eastAsia" w:ascii="宋体" w:hAnsi="宋体" w:cs="宋体"/>
                <w:kern w:val="0"/>
                <w:sz w:val="24"/>
                <w:lang w:bidi="ar"/>
              </w:rPr>
              <w:t>4.不提供不得分。</w:t>
            </w:r>
          </w:p>
        </w:tc>
        <w:tc>
          <w:tcPr>
            <w:tcW w:w="862" w:type="dxa"/>
            <w:tcMar>
              <w:top w:w="85" w:type="dxa"/>
              <w:bottom w:w="85" w:type="dxa"/>
            </w:tcMar>
            <w:vAlign w:val="center"/>
          </w:tcPr>
          <w:p w14:paraId="0FDC599F">
            <w:pPr>
              <w:adjustRightInd w:val="0"/>
              <w:snapToGrid w:val="0"/>
              <w:jc w:val="center"/>
              <w:rPr>
                <w:rFonts w:ascii="宋体" w:hAnsi="宋体"/>
                <w:szCs w:val="21"/>
              </w:rPr>
            </w:pPr>
            <w:r>
              <w:rPr>
                <w:rFonts w:hint="eastAsia" w:ascii="宋体" w:hAnsi="宋体"/>
                <w:szCs w:val="21"/>
              </w:rPr>
              <w:t>5</w:t>
            </w:r>
          </w:p>
        </w:tc>
      </w:tr>
      <w:tr w14:paraId="4B11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3803F246">
            <w:pPr>
              <w:tabs>
                <w:tab w:val="left" w:pos="142"/>
              </w:tabs>
              <w:adjustRightInd w:val="0"/>
              <w:snapToGrid w:val="0"/>
              <w:jc w:val="center"/>
              <w:rPr>
                <w:rFonts w:ascii="宋体" w:cs="宋体"/>
                <w:szCs w:val="21"/>
              </w:rPr>
            </w:pPr>
            <w:r>
              <w:rPr>
                <w:rFonts w:hint="eastAsia" w:ascii="宋体" w:cs="宋体"/>
                <w:szCs w:val="21"/>
              </w:rPr>
              <w:t>4</w:t>
            </w:r>
          </w:p>
        </w:tc>
        <w:tc>
          <w:tcPr>
            <w:tcW w:w="2326" w:type="dxa"/>
            <w:tcMar>
              <w:top w:w="85" w:type="dxa"/>
              <w:bottom w:w="85" w:type="dxa"/>
            </w:tcMar>
            <w:vAlign w:val="center"/>
          </w:tcPr>
          <w:p w14:paraId="6C30839D">
            <w:pPr>
              <w:widowControl/>
              <w:jc w:val="left"/>
              <w:rPr>
                <w:sz w:val="24"/>
              </w:rPr>
            </w:pPr>
            <w:r>
              <w:rPr>
                <w:rFonts w:hint="eastAsia" w:ascii="宋体" w:hAnsi="宋体" w:cs="宋体"/>
                <w:kern w:val="0"/>
                <w:sz w:val="24"/>
                <w:lang w:bidi="ar"/>
              </w:rPr>
              <w:t xml:space="preserve">人员培训及管理方案 </w:t>
            </w:r>
            <w:r>
              <w:rPr>
                <w:rFonts w:ascii="DejaVuSans" w:hAnsi="DejaVuSans" w:eastAsia="DejaVuSans" w:cs="DejaVuSans"/>
                <w:kern w:val="0"/>
                <w:sz w:val="24"/>
                <w:lang w:bidi="ar"/>
              </w:rPr>
              <w:t>(5.0</w:t>
            </w:r>
            <w:r>
              <w:rPr>
                <w:rFonts w:hint="eastAsia" w:ascii="宋体" w:hAnsi="宋体" w:cs="宋体"/>
                <w:kern w:val="0"/>
                <w:sz w:val="24"/>
                <w:lang w:bidi="ar"/>
              </w:rPr>
              <w:t>分</w:t>
            </w:r>
            <w:r>
              <w:rPr>
                <w:rFonts w:ascii="DejaVuSans" w:hAnsi="DejaVuSans" w:eastAsia="DejaVuSans" w:cs="DejaVuSans"/>
                <w:kern w:val="0"/>
                <w:sz w:val="24"/>
                <w:lang w:bidi="ar"/>
              </w:rPr>
              <w:t>)</w:t>
            </w:r>
          </w:p>
          <w:p w14:paraId="629EE123">
            <w:pPr>
              <w:jc w:val="center"/>
              <w:rPr>
                <w:rFonts w:ascii="宋体" w:hAnsi="宋体" w:cs="宋体"/>
                <w:sz w:val="24"/>
                <w:highlight w:val="white"/>
              </w:rPr>
            </w:pPr>
          </w:p>
        </w:tc>
        <w:tc>
          <w:tcPr>
            <w:tcW w:w="5760" w:type="dxa"/>
            <w:tcMar>
              <w:top w:w="85" w:type="dxa"/>
              <w:bottom w:w="85" w:type="dxa"/>
            </w:tcMar>
            <w:vAlign w:val="center"/>
          </w:tcPr>
          <w:p w14:paraId="2A729C3B">
            <w:pPr>
              <w:widowControl/>
              <w:jc w:val="left"/>
              <w:rPr>
                <w:rFonts w:ascii="宋体" w:hAnsi="宋体" w:cs="宋体"/>
                <w:kern w:val="0"/>
                <w:sz w:val="24"/>
                <w:lang w:bidi="ar"/>
              </w:rPr>
            </w:pPr>
            <w:r>
              <w:rPr>
                <w:rFonts w:hint="eastAsia" w:ascii="宋体" w:hAnsi="宋体" w:cs="宋体"/>
                <w:kern w:val="0"/>
                <w:sz w:val="24"/>
                <w:lang w:bidi="ar"/>
              </w:rPr>
              <w:t>根据投标人针对本项目的人员培训及管理方案进行打分，至少包括以下</w:t>
            </w:r>
            <w:r>
              <w:rPr>
                <w:rFonts w:ascii="DejaVuSans" w:hAnsi="DejaVuSans" w:eastAsia="DejaVuSans" w:cs="DejaVuSans"/>
                <w:kern w:val="0"/>
                <w:sz w:val="24"/>
                <w:lang w:bidi="ar"/>
              </w:rPr>
              <w:t>5</w:t>
            </w:r>
            <w:r>
              <w:rPr>
                <w:rFonts w:hint="eastAsia" w:ascii="宋体" w:hAnsi="宋体" w:cs="宋体"/>
                <w:kern w:val="0"/>
                <w:sz w:val="24"/>
                <w:lang w:bidi="ar"/>
              </w:rPr>
              <w:t>点内容：</w:t>
            </w:r>
            <w:r>
              <w:rPr>
                <w:rFonts w:ascii="DejaVuSans" w:hAnsi="DejaVuSans" w:eastAsia="DejaVuSans" w:cs="DejaVuSans"/>
                <w:kern w:val="0"/>
                <w:sz w:val="24"/>
                <w:lang w:bidi="ar"/>
              </w:rPr>
              <w:t>①</w:t>
            </w:r>
            <w:r>
              <w:rPr>
                <w:rFonts w:hint="eastAsia" w:ascii="宋体" w:hAnsi="宋体" w:cs="宋体"/>
                <w:kern w:val="0"/>
                <w:sz w:val="24"/>
                <w:lang w:bidi="ar"/>
              </w:rPr>
              <w:t>人员录用考核</w:t>
            </w:r>
            <w:r>
              <w:rPr>
                <w:rFonts w:ascii="DejaVuSans" w:hAnsi="DejaVuSans" w:eastAsia="DejaVuSans" w:cs="DejaVuSans"/>
                <w:kern w:val="0"/>
                <w:sz w:val="24"/>
                <w:lang w:bidi="ar"/>
              </w:rPr>
              <w:t>③</w:t>
            </w:r>
            <w:r>
              <w:rPr>
                <w:rFonts w:hint="eastAsia" w:ascii="宋体" w:hAnsi="宋体" w:cs="宋体"/>
                <w:kern w:val="0"/>
                <w:sz w:val="24"/>
                <w:lang w:bidi="ar"/>
              </w:rPr>
              <w:t>奖惩</w:t>
            </w:r>
            <w:r>
              <w:rPr>
                <w:rFonts w:ascii="DejaVuSans" w:hAnsi="DejaVuSans" w:eastAsia="DejaVuSans" w:cs="DejaVuSans"/>
                <w:kern w:val="0"/>
                <w:sz w:val="24"/>
                <w:lang w:bidi="ar"/>
              </w:rPr>
              <w:t>④</w:t>
            </w:r>
            <w:r>
              <w:rPr>
                <w:rFonts w:hint="eastAsia" w:ascii="宋体" w:hAnsi="宋体" w:cs="宋体"/>
                <w:kern w:val="0"/>
                <w:sz w:val="24"/>
                <w:lang w:bidi="ar"/>
              </w:rPr>
              <w:t>培训方式</w:t>
            </w:r>
            <w:r>
              <w:rPr>
                <w:rFonts w:ascii="DejaVuSans" w:hAnsi="DejaVuSans" w:eastAsia="DejaVuSans" w:cs="DejaVuSans"/>
                <w:kern w:val="0"/>
                <w:sz w:val="24"/>
                <w:lang w:bidi="ar"/>
              </w:rPr>
              <w:t>⑤</w:t>
            </w:r>
            <w:r>
              <w:rPr>
                <w:rFonts w:hint="eastAsia" w:ascii="宋体" w:hAnsi="宋体" w:cs="宋体"/>
                <w:kern w:val="0"/>
                <w:sz w:val="24"/>
                <w:lang w:bidi="ar"/>
              </w:rPr>
              <w:t>培训流程</w:t>
            </w:r>
          </w:p>
          <w:p w14:paraId="05A67649">
            <w:pPr>
              <w:widowControl/>
              <w:numPr>
                <w:ilvl w:val="0"/>
                <w:numId w:val="4"/>
              </w:numPr>
              <w:jc w:val="left"/>
              <w:rPr>
                <w:rFonts w:ascii="宋体" w:hAnsi="宋体" w:cs="宋体"/>
                <w:kern w:val="0"/>
                <w:sz w:val="24"/>
                <w:lang w:bidi="ar"/>
              </w:rPr>
            </w:pPr>
            <w:r>
              <w:rPr>
                <w:rFonts w:hint="eastAsia" w:ascii="宋体" w:hAnsi="宋体" w:cs="宋体"/>
                <w:kern w:val="0"/>
                <w:sz w:val="24"/>
                <w:lang w:bidi="ar"/>
              </w:rPr>
              <w:t>人员培训及管理方案（包括但不限于：</w:t>
            </w:r>
            <w:r>
              <w:rPr>
                <w:rFonts w:ascii="DejaVuSans" w:hAnsi="DejaVuSans" w:eastAsia="DejaVuSans" w:cs="DejaVuSans"/>
                <w:kern w:val="0"/>
                <w:sz w:val="24"/>
                <w:lang w:bidi="ar"/>
              </w:rPr>
              <w:t>①</w:t>
            </w:r>
            <w:r>
              <w:rPr>
                <w:rFonts w:hint="eastAsia" w:ascii="宋体" w:hAnsi="宋体" w:cs="宋体"/>
                <w:kern w:val="0"/>
                <w:sz w:val="24"/>
                <w:lang w:bidi="ar"/>
              </w:rPr>
              <w:t>人员录用</w:t>
            </w:r>
            <w:r>
              <w:rPr>
                <w:rFonts w:ascii="DejaVuSans" w:hAnsi="DejaVuSans" w:eastAsia="DejaVuSans" w:cs="DejaVuSans"/>
                <w:kern w:val="0"/>
                <w:sz w:val="24"/>
                <w:lang w:bidi="ar"/>
              </w:rPr>
              <w:t>②</w:t>
            </w:r>
            <w:r>
              <w:rPr>
                <w:rFonts w:hint="eastAsia" w:ascii="宋体" w:hAnsi="宋体" w:cs="宋体"/>
                <w:kern w:val="0"/>
                <w:sz w:val="24"/>
                <w:lang w:bidi="ar"/>
              </w:rPr>
              <w:t>考核</w:t>
            </w:r>
            <w:r>
              <w:rPr>
                <w:rFonts w:ascii="DejaVuSans" w:hAnsi="DejaVuSans" w:eastAsia="DejaVuSans" w:cs="DejaVuSans"/>
                <w:kern w:val="0"/>
                <w:sz w:val="24"/>
                <w:lang w:bidi="ar"/>
              </w:rPr>
              <w:t>③</w:t>
            </w:r>
            <w:r>
              <w:rPr>
                <w:rFonts w:hint="eastAsia" w:ascii="宋体" w:hAnsi="宋体" w:cs="宋体"/>
                <w:kern w:val="0"/>
                <w:sz w:val="24"/>
                <w:lang w:bidi="ar"/>
              </w:rPr>
              <w:t>奖惩</w:t>
            </w:r>
            <w:r>
              <w:rPr>
                <w:rFonts w:ascii="DejaVuSans" w:hAnsi="DejaVuSans" w:eastAsia="DejaVuSans" w:cs="DejaVuSans"/>
                <w:kern w:val="0"/>
                <w:sz w:val="24"/>
                <w:lang w:bidi="ar"/>
              </w:rPr>
              <w:t>④</w:t>
            </w:r>
            <w:r>
              <w:rPr>
                <w:rFonts w:hint="eastAsia" w:ascii="宋体" w:hAnsi="宋体" w:cs="宋体"/>
                <w:kern w:val="0"/>
                <w:sz w:val="24"/>
                <w:lang w:bidi="ar"/>
              </w:rPr>
              <w:t>培训方式</w:t>
            </w:r>
            <w:r>
              <w:rPr>
                <w:rFonts w:ascii="DejaVuSans" w:hAnsi="DejaVuSans" w:eastAsia="DejaVuSans" w:cs="DejaVuSans"/>
                <w:kern w:val="0"/>
                <w:sz w:val="24"/>
                <w:lang w:bidi="ar"/>
              </w:rPr>
              <w:t>⑤</w:t>
            </w:r>
            <w:r>
              <w:rPr>
                <w:rFonts w:hint="eastAsia" w:ascii="宋体" w:hAnsi="宋体" w:cs="宋体"/>
                <w:kern w:val="0"/>
                <w:sz w:val="24"/>
                <w:lang w:bidi="ar"/>
              </w:rPr>
              <w:t>培训流程）框架清晰，内容具体详细，措施详尽完善，能完全满足采购需求的得</w:t>
            </w:r>
            <w:r>
              <w:rPr>
                <w:rFonts w:ascii="DejaVuSans" w:hAnsi="DejaVuSans" w:eastAsia="DejaVuSans" w:cs="DejaVuSans"/>
                <w:kern w:val="0"/>
                <w:sz w:val="24"/>
                <w:lang w:bidi="ar"/>
              </w:rPr>
              <w:t>5</w:t>
            </w:r>
            <w:r>
              <w:rPr>
                <w:rFonts w:hint="eastAsia" w:ascii="宋体" w:hAnsi="宋体" w:cs="宋体"/>
                <w:kern w:val="0"/>
                <w:sz w:val="24"/>
                <w:lang w:bidi="ar"/>
              </w:rPr>
              <w:t>分；</w:t>
            </w:r>
          </w:p>
          <w:p w14:paraId="6529A17E">
            <w:pPr>
              <w:widowControl/>
              <w:jc w:val="left"/>
              <w:rPr>
                <w:rFonts w:ascii="宋体" w:hAnsi="宋体" w:cs="宋体"/>
                <w:kern w:val="0"/>
                <w:sz w:val="24"/>
                <w:lang w:bidi="ar"/>
              </w:rPr>
            </w:pPr>
            <w:r>
              <w:rPr>
                <w:rFonts w:ascii="DejaVuSans" w:hAnsi="DejaVuSans" w:eastAsia="DejaVuSans" w:cs="DejaVuSans"/>
                <w:kern w:val="0"/>
                <w:sz w:val="24"/>
                <w:lang w:bidi="ar"/>
              </w:rPr>
              <w:t>2.</w:t>
            </w:r>
            <w:r>
              <w:rPr>
                <w:rFonts w:hint="eastAsia" w:ascii="宋体" w:hAnsi="宋体" w:cs="宋体"/>
                <w:kern w:val="0"/>
                <w:sz w:val="24"/>
                <w:lang w:bidi="ar"/>
              </w:rPr>
              <w:t>人员培训及管理方案（包括但不限于：</w:t>
            </w:r>
            <w:r>
              <w:rPr>
                <w:rFonts w:ascii="DejaVuSans" w:hAnsi="DejaVuSans" w:eastAsia="DejaVuSans" w:cs="DejaVuSans"/>
                <w:kern w:val="0"/>
                <w:sz w:val="24"/>
                <w:lang w:bidi="ar"/>
              </w:rPr>
              <w:t>①</w:t>
            </w:r>
            <w:r>
              <w:rPr>
                <w:rFonts w:hint="eastAsia" w:ascii="宋体" w:hAnsi="宋体" w:cs="宋体"/>
                <w:kern w:val="0"/>
                <w:sz w:val="24"/>
                <w:lang w:bidi="ar"/>
              </w:rPr>
              <w:t>人员录用</w:t>
            </w:r>
            <w:r>
              <w:rPr>
                <w:rFonts w:ascii="DejaVuSans" w:hAnsi="DejaVuSans" w:eastAsia="DejaVuSans" w:cs="DejaVuSans"/>
                <w:kern w:val="0"/>
                <w:sz w:val="24"/>
                <w:lang w:bidi="ar"/>
              </w:rPr>
              <w:t>②</w:t>
            </w:r>
            <w:r>
              <w:rPr>
                <w:rFonts w:hint="eastAsia" w:ascii="宋体" w:hAnsi="宋体" w:cs="宋体"/>
                <w:kern w:val="0"/>
                <w:sz w:val="24"/>
                <w:lang w:bidi="ar"/>
              </w:rPr>
              <w:t>考核</w:t>
            </w:r>
            <w:r>
              <w:rPr>
                <w:rFonts w:ascii="DejaVuSans" w:hAnsi="DejaVuSans" w:eastAsia="DejaVuSans" w:cs="DejaVuSans"/>
                <w:kern w:val="0"/>
                <w:sz w:val="24"/>
                <w:lang w:bidi="ar"/>
              </w:rPr>
              <w:t>③</w:t>
            </w:r>
            <w:r>
              <w:rPr>
                <w:rFonts w:hint="eastAsia" w:ascii="宋体" w:hAnsi="宋体" w:cs="宋体"/>
                <w:kern w:val="0"/>
                <w:sz w:val="24"/>
                <w:lang w:bidi="ar"/>
              </w:rPr>
              <w:t>奖惩</w:t>
            </w:r>
            <w:r>
              <w:rPr>
                <w:rFonts w:ascii="DejaVuSans" w:hAnsi="DejaVuSans" w:eastAsia="DejaVuSans" w:cs="DejaVuSans"/>
                <w:kern w:val="0"/>
                <w:sz w:val="24"/>
                <w:lang w:bidi="ar"/>
              </w:rPr>
              <w:t>④</w:t>
            </w:r>
            <w:r>
              <w:rPr>
                <w:rFonts w:hint="eastAsia" w:ascii="宋体" w:hAnsi="宋体" w:cs="宋体"/>
                <w:kern w:val="0"/>
                <w:sz w:val="24"/>
                <w:lang w:bidi="ar"/>
              </w:rPr>
              <w:t>培训方式</w:t>
            </w:r>
            <w:r>
              <w:rPr>
                <w:rFonts w:ascii="DejaVuSans" w:hAnsi="DejaVuSans" w:eastAsia="DejaVuSans" w:cs="DejaVuSans"/>
                <w:kern w:val="0"/>
                <w:sz w:val="24"/>
                <w:lang w:bidi="ar"/>
              </w:rPr>
              <w:t>⑤</w:t>
            </w:r>
            <w:r>
              <w:rPr>
                <w:rFonts w:hint="eastAsia" w:ascii="宋体" w:hAnsi="宋体" w:cs="宋体"/>
                <w:kern w:val="0"/>
                <w:sz w:val="24"/>
                <w:lang w:bidi="ar"/>
              </w:rPr>
              <w:t>培训流程）有基本框架，内容基本完整，人员安排配置基本妥当，措施基本完善，能基本满足采购需求的得</w:t>
            </w:r>
            <w:r>
              <w:rPr>
                <w:rFonts w:ascii="DejaVuSans" w:hAnsi="DejaVuSans" w:eastAsia="DejaVuSans" w:cs="DejaVuSans"/>
                <w:kern w:val="0"/>
                <w:sz w:val="24"/>
                <w:lang w:bidi="ar"/>
              </w:rPr>
              <w:t>3</w:t>
            </w:r>
            <w:r>
              <w:rPr>
                <w:rFonts w:hint="eastAsia" w:ascii="宋体" w:hAnsi="宋体" w:cs="宋体"/>
                <w:kern w:val="0"/>
                <w:sz w:val="24"/>
                <w:lang w:bidi="ar"/>
              </w:rPr>
              <w:t>分；</w:t>
            </w:r>
          </w:p>
          <w:p w14:paraId="2547C60E">
            <w:pPr>
              <w:widowControl/>
              <w:jc w:val="left"/>
              <w:rPr>
                <w:rFonts w:ascii="宋体" w:hAnsi="宋体" w:cs="宋体"/>
                <w:kern w:val="0"/>
                <w:sz w:val="24"/>
                <w:lang w:bidi="ar"/>
              </w:rPr>
            </w:pPr>
            <w:r>
              <w:rPr>
                <w:rFonts w:ascii="DejaVuSans" w:hAnsi="DejaVuSans" w:eastAsia="DejaVuSans" w:cs="DejaVuSans"/>
                <w:kern w:val="0"/>
                <w:sz w:val="24"/>
                <w:lang w:bidi="ar"/>
              </w:rPr>
              <w:t>3.</w:t>
            </w:r>
            <w:r>
              <w:rPr>
                <w:rFonts w:hint="eastAsia" w:ascii="宋体" w:hAnsi="宋体" w:cs="宋体"/>
                <w:kern w:val="0"/>
                <w:sz w:val="24"/>
                <w:lang w:bidi="ar"/>
              </w:rPr>
              <w:t>人员培训及管理方案（包括但不限于：</w:t>
            </w:r>
            <w:r>
              <w:rPr>
                <w:rFonts w:ascii="DejaVuSans" w:hAnsi="DejaVuSans" w:eastAsia="DejaVuSans" w:cs="DejaVuSans"/>
                <w:kern w:val="0"/>
                <w:sz w:val="24"/>
                <w:lang w:bidi="ar"/>
              </w:rPr>
              <w:t>①</w:t>
            </w:r>
            <w:r>
              <w:rPr>
                <w:rFonts w:hint="eastAsia" w:ascii="宋体" w:hAnsi="宋体" w:cs="宋体"/>
                <w:kern w:val="0"/>
                <w:sz w:val="24"/>
                <w:lang w:bidi="ar"/>
              </w:rPr>
              <w:t>人员录用</w:t>
            </w:r>
            <w:r>
              <w:rPr>
                <w:rFonts w:ascii="DejaVuSans" w:hAnsi="DejaVuSans" w:eastAsia="DejaVuSans" w:cs="DejaVuSans"/>
                <w:kern w:val="0"/>
                <w:sz w:val="24"/>
                <w:lang w:bidi="ar"/>
              </w:rPr>
              <w:t>②</w:t>
            </w:r>
            <w:r>
              <w:rPr>
                <w:rFonts w:hint="eastAsia" w:ascii="宋体" w:hAnsi="宋体" w:cs="宋体"/>
                <w:kern w:val="0"/>
                <w:sz w:val="24"/>
                <w:lang w:bidi="ar"/>
              </w:rPr>
              <w:t>考核</w:t>
            </w:r>
            <w:r>
              <w:rPr>
                <w:rFonts w:ascii="DejaVuSans" w:hAnsi="DejaVuSans" w:eastAsia="DejaVuSans" w:cs="DejaVuSans"/>
                <w:kern w:val="0"/>
                <w:sz w:val="24"/>
                <w:lang w:bidi="ar"/>
              </w:rPr>
              <w:t>③</w:t>
            </w:r>
            <w:r>
              <w:rPr>
                <w:rFonts w:hint="eastAsia" w:ascii="宋体" w:hAnsi="宋体" w:cs="宋体"/>
                <w:kern w:val="0"/>
                <w:sz w:val="24"/>
                <w:lang w:bidi="ar"/>
              </w:rPr>
              <w:t>奖惩</w:t>
            </w:r>
            <w:r>
              <w:rPr>
                <w:rFonts w:ascii="DejaVuSans" w:hAnsi="DejaVuSans" w:eastAsia="DejaVuSans" w:cs="DejaVuSans"/>
                <w:kern w:val="0"/>
                <w:sz w:val="24"/>
                <w:lang w:bidi="ar"/>
              </w:rPr>
              <w:t>④</w:t>
            </w:r>
            <w:r>
              <w:rPr>
                <w:rFonts w:hint="eastAsia" w:ascii="宋体" w:hAnsi="宋体" w:cs="宋体"/>
                <w:kern w:val="0"/>
                <w:sz w:val="24"/>
                <w:lang w:bidi="ar"/>
              </w:rPr>
              <w:t>培训方式</w:t>
            </w:r>
            <w:r>
              <w:rPr>
                <w:rFonts w:ascii="DejaVuSans" w:hAnsi="DejaVuSans" w:eastAsia="DejaVuSans" w:cs="DejaVuSans"/>
                <w:kern w:val="0"/>
                <w:sz w:val="24"/>
                <w:lang w:bidi="ar"/>
              </w:rPr>
              <w:t>⑤</w:t>
            </w:r>
            <w:r>
              <w:rPr>
                <w:rFonts w:hint="eastAsia" w:ascii="宋体" w:hAnsi="宋体" w:cs="宋体"/>
                <w:kern w:val="0"/>
                <w:sz w:val="24"/>
                <w:lang w:bidi="ar"/>
              </w:rPr>
              <w:t>培训流程）内容有缺漏或不可行，人员安排配置不妥当，措施不完善，不能满足采购需求的得</w:t>
            </w:r>
            <w:r>
              <w:rPr>
                <w:rFonts w:ascii="DejaVuSans" w:hAnsi="DejaVuSans" w:eastAsia="DejaVuSans" w:cs="DejaVuSans"/>
                <w:kern w:val="0"/>
                <w:sz w:val="24"/>
                <w:lang w:bidi="ar"/>
              </w:rPr>
              <w:t>1</w:t>
            </w:r>
            <w:r>
              <w:rPr>
                <w:rFonts w:hint="eastAsia" w:ascii="宋体" w:hAnsi="宋体" w:cs="宋体"/>
                <w:kern w:val="0"/>
                <w:sz w:val="24"/>
                <w:lang w:bidi="ar"/>
              </w:rPr>
              <w:t>分；</w:t>
            </w:r>
          </w:p>
          <w:p w14:paraId="26E9510F">
            <w:pPr>
              <w:widowControl/>
              <w:jc w:val="left"/>
              <w:rPr>
                <w:rFonts w:ascii="宋体" w:hAnsi="宋体"/>
                <w:kern w:val="0"/>
                <w:sz w:val="24"/>
              </w:rPr>
            </w:pPr>
            <w:r>
              <w:rPr>
                <w:rFonts w:ascii="DejaVuSans" w:hAnsi="DejaVuSans" w:eastAsia="DejaVuSans" w:cs="DejaVuSans"/>
                <w:kern w:val="0"/>
                <w:sz w:val="24"/>
                <w:lang w:bidi="ar"/>
              </w:rPr>
              <w:t>4.</w:t>
            </w:r>
            <w:r>
              <w:rPr>
                <w:rFonts w:hint="eastAsia" w:ascii="宋体" w:hAnsi="宋体" w:cs="宋体"/>
                <w:kern w:val="0"/>
                <w:sz w:val="24"/>
                <w:lang w:bidi="ar"/>
              </w:rPr>
              <w:t>不提供不得分。</w:t>
            </w:r>
          </w:p>
        </w:tc>
        <w:tc>
          <w:tcPr>
            <w:tcW w:w="862" w:type="dxa"/>
            <w:tcMar>
              <w:top w:w="85" w:type="dxa"/>
              <w:bottom w:w="85" w:type="dxa"/>
            </w:tcMar>
            <w:vAlign w:val="center"/>
          </w:tcPr>
          <w:p w14:paraId="4D8CA7C3">
            <w:pPr>
              <w:adjustRightInd w:val="0"/>
              <w:snapToGrid w:val="0"/>
              <w:jc w:val="center"/>
              <w:rPr>
                <w:rFonts w:ascii="宋体" w:hAnsi="宋体"/>
                <w:szCs w:val="21"/>
              </w:rPr>
            </w:pPr>
            <w:r>
              <w:rPr>
                <w:rFonts w:hint="eastAsia" w:ascii="宋体" w:hAnsi="宋体"/>
                <w:szCs w:val="21"/>
              </w:rPr>
              <w:t>5</w:t>
            </w:r>
          </w:p>
        </w:tc>
      </w:tr>
      <w:tr w14:paraId="6579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62" w:type="dxa"/>
            <w:tcMar>
              <w:top w:w="85" w:type="dxa"/>
              <w:bottom w:w="85" w:type="dxa"/>
            </w:tcMar>
            <w:vAlign w:val="center"/>
          </w:tcPr>
          <w:p w14:paraId="1535B9E3">
            <w:pPr>
              <w:tabs>
                <w:tab w:val="left" w:pos="142"/>
              </w:tabs>
              <w:adjustRightInd w:val="0"/>
              <w:snapToGrid w:val="0"/>
              <w:jc w:val="center"/>
              <w:rPr>
                <w:rFonts w:ascii="宋体"/>
                <w:szCs w:val="21"/>
              </w:rPr>
            </w:pPr>
            <w:r>
              <w:rPr>
                <w:rFonts w:hint="eastAsia" w:ascii="宋体"/>
                <w:szCs w:val="21"/>
              </w:rPr>
              <w:t>5</w:t>
            </w:r>
          </w:p>
        </w:tc>
        <w:tc>
          <w:tcPr>
            <w:tcW w:w="2326" w:type="dxa"/>
            <w:tcMar>
              <w:top w:w="85" w:type="dxa"/>
              <w:bottom w:w="85" w:type="dxa"/>
            </w:tcMar>
            <w:vAlign w:val="center"/>
          </w:tcPr>
          <w:p w14:paraId="40C9E953">
            <w:pPr>
              <w:widowControl/>
              <w:spacing w:line="360" w:lineRule="auto"/>
              <w:jc w:val="center"/>
              <w:rPr>
                <w:rFonts w:ascii="宋体" w:hAnsi="宋体"/>
                <w:sz w:val="24"/>
              </w:rPr>
            </w:pPr>
            <w:r>
              <w:rPr>
                <w:rFonts w:hint="eastAsia" w:ascii="宋体" w:hAnsi="宋体" w:cs="宋体"/>
                <w:kern w:val="0"/>
                <w:sz w:val="24"/>
                <w:lang w:bidi="ar"/>
              </w:rPr>
              <w:t>响应能力（8.0分）</w:t>
            </w:r>
          </w:p>
        </w:tc>
        <w:tc>
          <w:tcPr>
            <w:tcW w:w="5760" w:type="dxa"/>
            <w:tcMar>
              <w:top w:w="85" w:type="dxa"/>
              <w:bottom w:w="85" w:type="dxa"/>
            </w:tcMar>
            <w:vAlign w:val="center"/>
          </w:tcPr>
          <w:p w14:paraId="7B715A4A">
            <w:pPr>
              <w:widowControl/>
              <w:jc w:val="left"/>
              <w:rPr>
                <w:rFonts w:hint="eastAsia" w:ascii="宋体" w:hAnsi="宋体" w:cs="宋体"/>
                <w:kern w:val="0"/>
                <w:sz w:val="24"/>
                <w:lang w:bidi="ar"/>
              </w:rPr>
            </w:pPr>
            <w:r>
              <w:rPr>
                <w:rFonts w:hint="eastAsia" w:ascii="宋体" w:hAnsi="宋体" w:cs="宋体"/>
                <w:kern w:val="0"/>
                <w:sz w:val="24"/>
                <w:lang w:bidi="ar"/>
              </w:rPr>
              <w:t>1.网点与本项目服务地点距离≤30公里的得8分；2.网点与本项目服务地点距离≤45公里的得5分；3.网点与本项目服务地点距离≤60公里的得2分；4.网点与本项目服务地点距离&gt;60公里的得1分。</w:t>
            </w:r>
          </w:p>
          <w:p w14:paraId="26C792BF">
            <w:pPr>
              <w:widowControl/>
              <w:jc w:val="left"/>
              <w:rPr>
                <w:rFonts w:ascii="宋体" w:hAnsi="宋体"/>
                <w:sz w:val="24"/>
              </w:rPr>
            </w:pPr>
            <w:r>
              <w:rPr>
                <w:rFonts w:hint="eastAsia" w:ascii="宋体" w:hAnsi="宋体" w:cs="宋体"/>
                <w:kern w:val="0"/>
                <w:sz w:val="24"/>
                <w:lang w:bidi="ar"/>
              </w:rPr>
              <w:t>注：须提供营业执照原件扫描件及该网点与本项目服务地点（项目服务地点为：梅州市梅江区环市北路63号广东省粤东技师学院梅州校区）,百度地图或高德导航截图（选距离短的）加盖投标人公章。网点包含公司或其分支机构。</w:t>
            </w:r>
          </w:p>
        </w:tc>
        <w:tc>
          <w:tcPr>
            <w:tcW w:w="862" w:type="dxa"/>
            <w:tcMar>
              <w:top w:w="85" w:type="dxa"/>
              <w:bottom w:w="85" w:type="dxa"/>
            </w:tcMar>
            <w:vAlign w:val="center"/>
          </w:tcPr>
          <w:p w14:paraId="4B88A85A">
            <w:pPr>
              <w:adjustRightInd w:val="0"/>
              <w:snapToGrid w:val="0"/>
              <w:jc w:val="center"/>
              <w:rPr>
                <w:rFonts w:ascii="宋体" w:hAnsi="宋体"/>
                <w:szCs w:val="21"/>
              </w:rPr>
            </w:pPr>
            <w:r>
              <w:rPr>
                <w:rFonts w:hint="eastAsia" w:ascii="宋体" w:hAnsi="宋体"/>
                <w:szCs w:val="21"/>
              </w:rPr>
              <w:t>8</w:t>
            </w:r>
          </w:p>
        </w:tc>
      </w:tr>
      <w:tr w14:paraId="645A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88" w:type="dxa"/>
            <w:gridSpan w:val="2"/>
            <w:tcMar>
              <w:top w:w="85" w:type="dxa"/>
              <w:bottom w:w="85" w:type="dxa"/>
            </w:tcMar>
            <w:vAlign w:val="center"/>
          </w:tcPr>
          <w:p w14:paraId="09DE2C88">
            <w:pPr>
              <w:jc w:val="center"/>
              <w:rPr>
                <w:rFonts w:ascii="宋体" w:hAnsi="宋体" w:cs="仿宋_GB2312"/>
                <w:szCs w:val="21"/>
              </w:rPr>
            </w:pPr>
            <w:r>
              <w:rPr>
                <w:rFonts w:hint="eastAsia" w:ascii="宋体" w:hAnsi="宋体" w:cs="宋体"/>
                <w:b/>
                <w:bCs/>
                <w:szCs w:val="21"/>
              </w:rPr>
              <w:t>合计</w:t>
            </w:r>
          </w:p>
        </w:tc>
        <w:tc>
          <w:tcPr>
            <w:tcW w:w="6622" w:type="dxa"/>
            <w:gridSpan w:val="2"/>
            <w:tcMar>
              <w:top w:w="85" w:type="dxa"/>
              <w:bottom w:w="85" w:type="dxa"/>
            </w:tcMar>
            <w:vAlign w:val="center"/>
          </w:tcPr>
          <w:p w14:paraId="4C573530">
            <w:pPr>
              <w:adjustRightInd w:val="0"/>
              <w:snapToGrid w:val="0"/>
              <w:jc w:val="center"/>
              <w:rPr>
                <w:rFonts w:ascii="宋体" w:hAnsi="宋体"/>
                <w:szCs w:val="21"/>
              </w:rPr>
            </w:pPr>
            <w:r>
              <w:rPr>
                <w:rFonts w:hint="eastAsia" w:ascii="宋体" w:hAnsi="宋体"/>
                <w:szCs w:val="21"/>
              </w:rPr>
              <w:t xml:space="preserve">  30</w:t>
            </w:r>
          </w:p>
        </w:tc>
      </w:tr>
    </w:tbl>
    <w:p w14:paraId="1D90B263">
      <w:pPr>
        <w:numPr>
          <w:ilvl w:val="0"/>
          <w:numId w:val="5"/>
        </w:numPr>
        <w:spacing w:line="400" w:lineRule="exact"/>
        <w:ind w:firstLine="480"/>
        <w:rPr>
          <w:rFonts w:ascii="宋体" w:hAnsi="宋体"/>
          <w:sz w:val="24"/>
        </w:rPr>
      </w:pPr>
      <w:r>
        <w:rPr>
          <w:rFonts w:hint="eastAsia" w:ascii="宋体" w:hAnsi="宋体"/>
          <w:sz w:val="24"/>
        </w:rPr>
        <w:t>价格评分</w:t>
      </w:r>
    </w:p>
    <w:p w14:paraId="7DA90C7A">
      <w:pPr>
        <w:spacing w:line="400" w:lineRule="exact"/>
        <w:ind w:firstLine="480" w:firstLineChars="200"/>
        <w:rPr>
          <w:rFonts w:ascii="宋体" w:hAnsi="宋体"/>
          <w:sz w:val="24"/>
        </w:rPr>
      </w:pPr>
      <w:r>
        <w:rPr>
          <w:rFonts w:hint="eastAsia" w:ascii="宋体" w:hAnsi="宋体"/>
          <w:sz w:val="24"/>
        </w:rPr>
        <w:t>经评标委员会审核后，以满足招标文件要求且有效的最低评标价格定为评标基准价，其价格分为满分，其他投标人的价格分统一按下列公式折算递减：</w:t>
      </w:r>
    </w:p>
    <w:p w14:paraId="39C530B0">
      <w:pPr>
        <w:spacing w:line="400" w:lineRule="exact"/>
        <w:ind w:firstLine="480" w:firstLineChars="200"/>
        <w:rPr>
          <w:rFonts w:ascii="宋体" w:hAnsi="宋体"/>
          <w:sz w:val="24"/>
        </w:rPr>
      </w:pPr>
      <w:r>
        <w:rPr>
          <w:rFonts w:hint="eastAsia" w:ascii="宋体" w:hAnsi="宋体"/>
          <w:sz w:val="24"/>
        </w:rPr>
        <w:t>投标报价得分＝(评标基准价/投标报价)×30</w:t>
      </w:r>
    </w:p>
    <w:p w14:paraId="3FE125F4">
      <w:pPr>
        <w:spacing w:line="400" w:lineRule="exact"/>
        <w:ind w:firstLine="480" w:firstLineChars="200"/>
        <w:rPr>
          <w:rFonts w:ascii="宋体" w:hAnsi="宋体"/>
          <w:sz w:val="24"/>
        </w:rPr>
      </w:pPr>
      <w:r>
        <w:rPr>
          <w:rFonts w:hint="eastAsia" w:ascii="宋体" w:hAnsi="宋体"/>
          <w:sz w:val="24"/>
        </w:rPr>
        <w:t>注：超过此本项目预算价的投标作无效投标处理。价格评分仅限于通过符合性审查的有效投标人。</w:t>
      </w:r>
    </w:p>
    <w:p w14:paraId="6CD23A37">
      <w:pPr>
        <w:spacing w:line="400" w:lineRule="exact"/>
        <w:ind w:firstLine="480" w:firstLineChars="200"/>
        <w:rPr>
          <w:rFonts w:ascii="宋体" w:hAnsi="宋体"/>
          <w:sz w:val="24"/>
        </w:rPr>
      </w:pPr>
      <w:r>
        <w:rPr>
          <w:rFonts w:hint="eastAsia" w:ascii="宋体" w:hAnsi="宋体"/>
          <w:sz w:val="24"/>
        </w:rPr>
        <w:t>（三）确定中标单位</w:t>
      </w:r>
    </w:p>
    <w:p w14:paraId="0B56D50D">
      <w:pPr>
        <w:spacing w:line="400" w:lineRule="exact"/>
        <w:ind w:firstLine="480" w:firstLineChars="200"/>
        <w:rPr>
          <w:rFonts w:ascii="宋体" w:hAnsi="宋体"/>
          <w:sz w:val="24"/>
        </w:rPr>
      </w:pPr>
      <w:r>
        <w:rPr>
          <w:rFonts w:hint="eastAsia" w:ascii="宋体" w:hAnsi="宋体"/>
          <w:sz w:val="24"/>
        </w:rPr>
        <w:t>根据上述的评标办法，评出本项目的中标单位，并将评审结果上报学院领导确认。中标通知书经确认后由招标人签发。招标人不接受非中标单位的查询，也不对不中标原因作出任何解释。</w:t>
      </w:r>
    </w:p>
    <w:p w14:paraId="6DD8006D">
      <w:pPr>
        <w:spacing w:line="400" w:lineRule="exact"/>
        <w:ind w:firstLine="480" w:firstLineChars="200"/>
        <w:rPr>
          <w:rFonts w:ascii="宋体" w:hAnsi="宋体"/>
          <w:sz w:val="24"/>
        </w:rPr>
      </w:pPr>
      <w:r>
        <w:rPr>
          <w:rFonts w:hint="eastAsia" w:ascii="宋体" w:hAnsi="宋体"/>
          <w:sz w:val="24"/>
        </w:rPr>
        <w:t>本招标文件的解释权和修正权归招标人所有。</w:t>
      </w:r>
    </w:p>
    <w:p w14:paraId="568B798F">
      <w:pPr>
        <w:pStyle w:val="4"/>
        <w:rPr>
          <w:rFonts w:ascii="宋体" w:hAnsi="宋体"/>
          <w:b/>
          <w:kern w:val="28"/>
          <w:sz w:val="36"/>
          <w:szCs w:val="36"/>
        </w:rPr>
      </w:pPr>
    </w:p>
    <w:p w14:paraId="2DDACD73">
      <w:pPr>
        <w:spacing w:line="360" w:lineRule="exact"/>
        <w:jc w:val="center"/>
        <w:rPr>
          <w:rFonts w:ascii="宋体" w:hAnsi="宋体"/>
          <w:b/>
          <w:kern w:val="28"/>
          <w:sz w:val="36"/>
          <w:szCs w:val="36"/>
        </w:rPr>
      </w:pPr>
    </w:p>
    <w:p w14:paraId="456584CD">
      <w:pPr>
        <w:spacing w:line="360" w:lineRule="exact"/>
        <w:jc w:val="center"/>
        <w:rPr>
          <w:rFonts w:ascii="宋体" w:hAnsi="宋体"/>
          <w:b/>
          <w:kern w:val="28"/>
          <w:sz w:val="36"/>
          <w:szCs w:val="36"/>
        </w:rPr>
      </w:pPr>
    </w:p>
    <w:p w14:paraId="7CD2DCB9">
      <w:pPr>
        <w:spacing w:line="360" w:lineRule="exact"/>
        <w:jc w:val="center"/>
        <w:rPr>
          <w:rFonts w:ascii="宋体" w:hAnsi="宋体"/>
          <w:b/>
          <w:kern w:val="28"/>
          <w:sz w:val="36"/>
          <w:szCs w:val="36"/>
        </w:rPr>
      </w:pPr>
    </w:p>
    <w:p w14:paraId="0A982453">
      <w:pPr>
        <w:spacing w:line="360" w:lineRule="exact"/>
        <w:jc w:val="center"/>
        <w:rPr>
          <w:rFonts w:ascii="宋体" w:hAnsi="宋体"/>
          <w:b/>
          <w:kern w:val="28"/>
          <w:sz w:val="36"/>
          <w:szCs w:val="36"/>
        </w:rPr>
      </w:pPr>
    </w:p>
    <w:p w14:paraId="14C30467">
      <w:pPr>
        <w:pStyle w:val="4"/>
        <w:ind w:firstLine="0"/>
        <w:rPr>
          <w:rFonts w:ascii="宋体" w:hAnsi="宋体"/>
          <w:sz w:val="24"/>
        </w:rPr>
      </w:pPr>
    </w:p>
    <w:p w14:paraId="0C13AF0C">
      <w:pPr>
        <w:spacing w:line="360" w:lineRule="auto"/>
        <w:jc w:val="left"/>
        <w:rPr>
          <w:rFonts w:hint="eastAsia" w:ascii="宋体" w:hAnsi="宋体" w:cs="Tahoma"/>
          <w:b/>
          <w:kern w:val="28"/>
          <w:sz w:val="24"/>
        </w:rPr>
      </w:pPr>
    </w:p>
    <w:p w14:paraId="068672F0">
      <w:pPr>
        <w:bidi w:val="0"/>
        <w:jc w:val="left"/>
        <w:rPr>
          <w:rFonts w:hint="eastAsia" w:ascii="宋体" w:hAnsi="宋体" w:cs="Tahoma"/>
          <w:b/>
          <w:kern w:val="28"/>
          <w:sz w:val="24"/>
        </w:rPr>
      </w:pPr>
    </w:p>
    <w:p w14:paraId="626B6A70">
      <w:pPr>
        <w:pStyle w:val="5"/>
        <w:spacing w:line="240" w:lineRule="auto"/>
        <w:ind w:right="0"/>
        <w:jc w:val="left"/>
        <w:rPr>
          <w:rFonts w:hint="default" w:ascii="仿宋_GB2312" w:hAnsi="仿宋_GB2312" w:eastAsia="仿宋_GB2312" w:cs="仿宋_GB2312"/>
          <w:sz w:val="24"/>
          <w:lang w:val="en-US" w:eastAsia="zh-CN"/>
        </w:rPr>
      </w:pPr>
      <w:r>
        <w:rPr>
          <w:rFonts w:hint="eastAsia" w:ascii="宋体" w:hAnsi="宋体" w:cs="Tahoma"/>
          <w:b/>
          <w:kern w:val="28"/>
          <w:sz w:val="24"/>
        </w:rPr>
        <w:br w:type="page"/>
      </w:r>
      <w:r>
        <w:rPr>
          <w:rFonts w:hint="eastAsia" w:ascii="仿宋_GB2312" w:hAnsi="仿宋_GB2312" w:eastAsia="仿宋_GB2312" w:cs="仿宋_GB2312"/>
          <w:sz w:val="24"/>
          <w:lang w:val="en-US" w:eastAsia="zh-CN"/>
        </w:rPr>
        <w:t>附件1</w:t>
      </w:r>
    </w:p>
    <w:p w14:paraId="7DCD487B">
      <w:pPr>
        <w:pStyle w:val="5"/>
        <w:spacing w:line="240" w:lineRule="auto"/>
        <w:ind w:right="0"/>
        <w:jc w:val="center"/>
        <w:rPr>
          <w:rFonts w:hint="eastAsia" w:ascii="仿宋_GB2312" w:hAnsi="仿宋_GB2312" w:eastAsia="仿宋_GB2312" w:cs="仿宋_GB2312"/>
          <w:sz w:val="24"/>
        </w:rPr>
      </w:pPr>
    </w:p>
    <w:p w14:paraId="505A901E">
      <w:pPr>
        <w:pStyle w:val="5"/>
        <w:spacing w:line="240" w:lineRule="auto"/>
        <w:ind w:right="0"/>
        <w:jc w:val="center"/>
        <w:rPr>
          <w:b/>
          <w:bCs/>
          <w:spacing w:val="3"/>
          <w:sz w:val="37"/>
          <w:szCs w:val="37"/>
        </w:rPr>
      </w:pPr>
      <w:r>
        <w:rPr>
          <w:b/>
          <w:bCs/>
          <w:spacing w:val="8"/>
          <w:sz w:val="37"/>
          <w:szCs w:val="37"/>
        </w:rPr>
        <w:t>广东省粤东技师学院</w:t>
      </w:r>
      <w:r>
        <w:rPr>
          <w:rFonts w:hint="eastAsia"/>
          <w:b/>
          <w:bCs/>
          <w:spacing w:val="8"/>
          <w:sz w:val="37"/>
          <w:szCs w:val="37"/>
          <w:lang w:val="en-US" w:eastAsia="zh-CN"/>
        </w:rPr>
        <w:t>梅州校区</w:t>
      </w:r>
      <w:r>
        <w:rPr>
          <w:b/>
          <w:bCs/>
          <w:spacing w:val="3"/>
          <w:sz w:val="37"/>
          <w:szCs w:val="37"/>
        </w:rPr>
        <w:t>物业管理服务</w:t>
      </w:r>
    </w:p>
    <w:p w14:paraId="5C2A0614">
      <w:pPr>
        <w:pStyle w:val="5"/>
        <w:spacing w:line="240" w:lineRule="auto"/>
        <w:ind w:right="0"/>
        <w:jc w:val="center"/>
        <w:rPr>
          <w:rFonts w:ascii="Arial"/>
          <w:sz w:val="21"/>
        </w:rPr>
      </w:pPr>
      <w:r>
        <w:rPr>
          <w:rFonts w:hint="eastAsia"/>
          <w:b/>
          <w:bCs/>
          <w:spacing w:val="3"/>
          <w:sz w:val="37"/>
          <w:szCs w:val="37"/>
        </w:rPr>
        <w:t>（保洁、绿化及水电维护）</w:t>
      </w:r>
      <w:r>
        <w:rPr>
          <w:b/>
          <w:bCs/>
          <w:spacing w:val="3"/>
          <w:sz w:val="37"/>
          <w:szCs w:val="37"/>
        </w:rPr>
        <w:t>需求</w:t>
      </w:r>
      <w:r>
        <w:rPr>
          <w:rFonts w:hint="eastAsia"/>
          <w:b/>
          <w:bCs/>
          <w:spacing w:val="3"/>
          <w:sz w:val="37"/>
          <w:szCs w:val="37"/>
          <w:lang w:val="en-US" w:eastAsia="zh-CN"/>
        </w:rPr>
        <w:t>书</w:t>
      </w:r>
    </w:p>
    <w:p w14:paraId="627F713C">
      <w:pPr>
        <w:spacing w:line="240" w:lineRule="auto"/>
        <w:rPr>
          <w:rFonts w:ascii="Arial"/>
          <w:sz w:val="21"/>
        </w:rPr>
      </w:pPr>
    </w:p>
    <w:p w14:paraId="619AC7BF">
      <w:pPr>
        <w:pStyle w:val="5"/>
        <w:keepNext w:val="0"/>
        <w:keepLines w:val="0"/>
        <w:pageBreakBefore w:val="0"/>
        <w:widowControl w:val="0"/>
        <w:kinsoku w:val="0"/>
        <w:wordWrap/>
        <w:overflowPunct/>
        <w:topLinePunct w:val="0"/>
        <w:autoSpaceDE w:val="0"/>
        <w:autoSpaceDN w:val="0"/>
        <w:bidi w:val="0"/>
        <w:adjustRightInd w:val="0"/>
        <w:snapToGrid w:val="0"/>
        <w:spacing w:before="78" w:line="360" w:lineRule="auto"/>
        <w:textAlignment w:val="baseline"/>
        <w:outlineLvl w:val="0"/>
        <w:rPr>
          <w:sz w:val="24"/>
          <w:szCs w:val="24"/>
        </w:rPr>
      </w:pPr>
      <w:r>
        <w:rPr>
          <w:b/>
          <w:bCs/>
          <w:spacing w:val="-6"/>
          <w:sz w:val="24"/>
          <w:szCs w:val="24"/>
        </w:rPr>
        <w:t>一、技术要求</w:t>
      </w:r>
    </w:p>
    <w:p w14:paraId="6BB33613">
      <w:pPr>
        <w:pStyle w:val="5"/>
        <w:keepNext w:val="0"/>
        <w:keepLines w:val="0"/>
        <w:pageBreakBefore w:val="0"/>
        <w:widowControl w:val="0"/>
        <w:kinsoku w:val="0"/>
        <w:wordWrap/>
        <w:overflowPunct/>
        <w:topLinePunct w:val="0"/>
        <w:autoSpaceDE w:val="0"/>
        <w:autoSpaceDN w:val="0"/>
        <w:bidi w:val="0"/>
        <w:adjustRightInd w:val="0"/>
        <w:snapToGrid w:val="0"/>
        <w:spacing w:before="68" w:line="360" w:lineRule="auto"/>
        <w:textAlignment w:val="baseline"/>
        <w:outlineLvl w:val="0"/>
        <w:rPr>
          <w:sz w:val="24"/>
          <w:szCs w:val="24"/>
        </w:rPr>
      </w:pPr>
      <w:r>
        <w:rPr>
          <w:b/>
          <w:bCs/>
          <w:spacing w:val="13"/>
          <w:sz w:val="24"/>
          <w:szCs w:val="24"/>
        </w:rPr>
        <w:t>(一)、物业基本情况</w:t>
      </w:r>
    </w:p>
    <w:p w14:paraId="7122257E">
      <w:pPr>
        <w:pStyle w:val="5"/>
        <w:keepNext w:val="0"/>
        <w:keepLines w:val="0"/>
        <w:pageBreakBefore w:val="0"/>
        <w:widowControl w:val="0"/>
        <w:kinsoku w:val="0"/>
        <w:wordWrap/>
        <w:overflowPunct/>
        <w:topLinePunct w:val="0"/>
        <w:autoSpaceDE w:val="0"/>
        <w:autoSpaceDN w:val="0"/>
        <w:bidi w:val="0"/>
        <w:adjustRightInd w:val="0"/>
        <w:snapToGrid w:val="0"/>
        <w:spacing w:before="55" w:line="360" w:lineRule="auto"/>
        <w:textAlignment w:val="baseline"/>
        <w:outlineLvl w:val="0"/>
        <w:rPr>
          <w:sz w:val="24"/>
          <w:szCs w:val="24"/>
        </w:rPr>
      </w:pPr>
      <w:r>
        <w:rPr>
          <w:rFonts w:ascii="宋体" w:hAnsi="宋体" w:eastAsia="宋体" w:cs="宋体"/>
          <w:b/>
          <w:bCs/>
          <w:spacing w:val="-4"/>
          <w:sz w:val="24"/>
          <w:szCs w:val="24"/>
        </w:rPr>
        <w:t>1、</w:t>
      </w:r>
      <w:r>
        <w:rPr>
          <w:b/>
          <w:bCs/>
          <w:spacing w:val="-4"/>
          <w:sz w:val="24"/>
          <w:szCs w:val="24"/>
        </w:rPr>
        <w:t>服务区域范围</w:t>
      </w:r>
    </w:p>
    <w:p w14:paraId="18BC724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24" w:firstLineChars="200"/>
        <w:textAlignment w:val="baseline"/>
        <w:rPr>
          <w:rFonts w:hint="default" w:eastAsia="仿宋"/>
          <w:spacing w:val="11"/>
          <w:sz w:val="24"/>
          <w:szCs w:val="24"/>
          <w:highlight w:val="none"/>
          <w:lang w:val="en-US" w:eastAsia="zh-CN"/>
        </w:rPr>
      </w:pPr>
      <w:r>
        <w:rPr>
          <w:rFonts w:hint="eastAsia"/>
          <w:spacing w:val="11"/>
          <w:sz w:val="24"/>
          <w:szCs w:val="24"/>
          <w:highlight w:val="none"/>
          <w:lang w:val="en-US" w:eastAsia="zh-CN"/>
        </w:rPr>
        <w:t>广东省粤东技师学院</w:t>
      </w:r>
      <w:r>
        <w:rPr>
          <w:rFonts w:hint="eastAsia"/>
          <w:spacing w:val="11"/>
          <w:sz w:val="24"/>
          <w:szCs w:val="24"/>
          <w:highlight w:val="none"/>
        </w:rPr>
        <w:t>梅州校区</w:t>
      </w:r>
      <w:r>
        <w:rPr>
          <w:rFonts w:hint="eastAsia"/>
          <w:spacing w:val="11"/>
          <w:sz w:val="24"/>
          <w:szCs w:val="24"/>
          <w:highlight w:val="none"/>
          <w:lang w:val="en-US" w:eastAsia="zh-CN"/>
        </w:rPr>
        <w:t>位于梅州市梅江区环市北路63号，</w:t>
      </w:r>
      <w:r>
        <w:rPr>
          <w:rFonts w:hint="eastAsia"/>
          <w:spacing w:val="11"/>
          <w:sz w:val="24"/>
          <w:szCs w:val="24"/>
          <w:highlight w:val="none"/>
        </w:rPr>
        <w:t>占地面积</w:t>
      </w:r>
      <w:r>
        <w:rPr>
          <w:rFonts w:hint="eastAsia"/>
          <w:spacing w:val="11"/>
          <w:sz w:val="24"/>
          <w:szCs w:val="24"/>
          <w:highlight w:val="none"/>
          <w:lang w:val="en-US" w:eastAsia="zh-CN"/>
        </w:rPr>
        <w:t>约</w:t>
      </w:r>
      <w:r>
        <w:rPr>
          <w:rFonts w:hint="eastAsia"/>
          <w:spacing w:val="11"/>
          <w:sz w:val="24"/>
          <w:szCs w:val="24"/>
          <w:highlight w:val="none"/>
        </w:rPr>
        <w:t>53.92亩，</w:t>
      </w:r>
      <w:r>
        <w:rPr>
          <w:rFonts w:hint="eastAsia"/>
          <w:spacing w:val="11"/>
          <w:sz w:val="24"/>
          <w:szCs w:val="24"/>
          <w:highlight w:val="none"/>
          <w:lang w:val="en-US" w:eastAsia="zh-CN"/>
        </w:rPr>
        <w:t>总</w:t>
      </w:r>
      <w:r>
        <w:rPr>
          <w:rFonts w:hint="eastAsia"/>
          <w:spacing w:val="11"/>
          <w:sz w:val="24"/>
          <w:szCs w:val="24"/>
          <w:highlight w:val="none"/>
        </w:rPr>
        <w:t>建筑面积</w:t>
      </w:r>
      <w:r>
        <w:rPr>
          <w:rFonts w:hint="eastAsia"/>
          <w:spacing w:val="11"/>
          <w:sz w:val="24"/>
          <w:szCs w:val="24"/>
          <w:highlight w:val="none"/>
          <w:lang w:val="en-US" w:eastAsia="zh-CN"/>
        </w:rPr>
        <w:t>约</w:t>
      </w:r>
      <w:r>
        <w:rPr>
          <w:rFonts w:hint="eastAsia"/>
          <w:spacing w:val="11"/>
          <w:sz w:val="24"/>
          <w:szCs w:val="24"/>
          <w:highlight w:val="none"/>
        </w:rPr>
        <w:t>3</w:t>
      </w:r>
      <w:r>
        <w:rPr>
          <w:rFonts w:hint="eastAsia"/>
          <w:spacing w:val="11"/>
          <w:sz w:val="24"/>
          <w:szCs w:val="24"/>
          <w:highlight w:val="none"/>
          <w:lang w:val="en-US" w:eastAsia="zh-CN"/>
        </w:rPr>
        <w:t>4000</w:t>
      </w:r>
      <w:r>
        <w:rPr>
          <w:rFonts w:hint="eastAsia"/>
          <w:spacing w:val="11"/>
          <w:sz w:val="24"/>
          <w:szCs w:val="24"/>
          <w:highlight w:val="none"/>
        </w:rPr>
        <w:t>平方米。</w:t>
      </w:r>
      <w:r>
        <w:rPr>
          <w:rFonts w:hint="eastAsia"/>
          <w:spacing w:val="11"/>
          <w:sz w:val="24"/>
          <w:szCs w:val="24"/>
          <w:highlight w:val="none"/>
          <w:lang w:val="en-US" w:eastAsia="zh-CN"/>
        </w:rPr>
        <w:t>梅州校区共有建筑物23栋，详见《广东省粤东技师学院梅州校区建筑物及构筑物分布情况表》。</w:t>
      </w:r>
    </w:p>
    <w:tbl>
      <w:tblPr>
        <w:tblStyle w:val="12"/>
        <w:tblW w:w="8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796"/>
        <w:gridCol w:w="1020"/>
        <w:gridCol w:w="2568"/>
        <w:gridCol w:w="1741"/>
      </w:tblGrid>
      <w:tr w14:paraId="288B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8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5D4B">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snapToGrid w:val="0"/>
                <w:color w:val="000000"/>
                <w:kern w:val="0"/>
                <w:sz w:val="28"/>
                <w:szCs w:val="28"/>
                <w:u w:val="none"/>
                <w:lang w:val="en-US" w:eastAsia="zh-CN" w:bidi="ar"/>
              </w:rPr>
              <w:t>广东省粤东技师学院梅州校区建筑物及构筑物分布情况表</w:t>
            </w:r>
          </w:p>
        </w:tc>
      </w:tr>
      <w:tr w14:paraId="1C18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08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D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建筑物/构筑物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F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楼层</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86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建筑面积</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1A21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1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B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教学办公楼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F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0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2991">
            <w:pPr>
              <w:jc w:val="center"/>
              <w:rPr>
                <w:rFonts w:hint="eastAsia" w:ascii="宋体" w:hAnsi="宋体" w:eastAsia="宋体" w:cs="宋体"/>
                <w:i w:val="0"/>
                <w:iCs w:val="0"/>
                <w:color w:val="000000"/>
                <w:sz w:val="20"/>
                <w:szCs w:val="20"/>
                <w:u w:val="none"/>
              </w:rPr>
            </w:pPr>
          </w:p>
        </w:tc>
      </w:tr>
      <w:tr w14:paraId="1711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C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3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电工电子技训楼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2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5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1470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921">
            <w:pPr>
              <w:jc w:val="center"/>
              <w:rPr>
                <w:rFonts w:hint="eastAsia" w:ascii="宋体" w:hAnsi="宋体" w:eastAsia="宋体" w:cs="宋体"/>
                <w:i w:val="0"/>
                <w:iCs w:val="0"/>
                <w:color w:val="000000"/>
                <w:sz w:val="20"/>
                <w:szCs w:val="20"/>
                <w:u w:val="none"/>
              </w:rPr>
            </w:pPr>
          </w:p>
        </w:tc>
      </w:tr>
      <w:tr w14:paraId="03AD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3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A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电化教学楼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1470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9C60">
            <w:pPr>
              <w:jc w:val="center"/>
              <w:rPr>
                <w:rFonts w:hint="eastAsia" w:ascii="宋体" w:hAnsi="宋体" w:eastAsia="宋体" w:cs="宋体"/>
                <w:i w:val="0"/>
                <w:iCs w:val="0"/>
                <w:color w:val="000000"/>
                <w:sz w:val="20"/>
                <w:szCs w:val="20"/>
                <w:u w:val="none"/>
              </w:rPr>
            </w:pPr>
          </w:p>
        </w:tc>
      </w:tr>
      <w:tr w14:paraId="42FD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5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实训楼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1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0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4569.48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4DAD">
            <w:pPr>
              <w:jc w:val="center"/>
              <w:rPr>
                <w:rFonts w:hint="eastAsia" w:ascii="宋体" w:hAnsi="宋体" w:eastAsia="宋体" w:cs="宋体"/>
                <w:i w:val="0"/>
                <w:iCs w:val="0"/>
                <w:color w:val="000000"/>
                <w:sz w:val="20"/>
                <w:szCs w:val="20"/>
                <w:u w:val="none"/>
              </w:rPr>
            </w:pPr>
          </w:p>
        </w:tc>
      </w:tr>
      <w:tr w14:paraId="748E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6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新食堂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F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2448.14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8BCD">
            <w:pPr>
              <w:jc w:val="center"/>
              <w:rPr>
                <w:rFonts w:hint="eastAsia" w:ascii="宋体" w:hAnsi="宋体" w:eastAsia="宋体" w:cs="宋体"/>
                <w:i w:val="0"/>
                <w:iCs w:val="0"/>
                <w:color w:val="000000"/>
                <w:sz w:val="20"/>
                <w:szCs w:val="20"/>
                <w:u w:val="none"/>
              </w:rPr>
            </w:pPr>
          </w:p>
        </w:tc>
      </w:tr>
      <w:tr w14:paraId="5059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5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学生宿舍1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0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2107.63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846">
            <w:pPr>
              <w:jc w:val="center"/>
              <w:rPr>
                <w:rFonts w:hint="eastAsia" w:ascii="宋体" w:hAnsi="宋体" w:eastAsia="宋体" w:cs="宋体"/>
                <w:i w:val="0"/>
                <w:iCs w:val="0"/>
                <w:color w:val="000000"/>
                <w:sz w:val="20"/>
                <w:szCs w:val="20"/>
                <w:u w:val="none"/>
              </w:rPr>
            </w:pPr>
          </w:p>
        </w:tc>
      </w:tr>
      <w:tr w14:paraId="347B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学生宿舍2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F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2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2529.41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6E53">
            <w:pPr>
              <w:jc w:val="center"/>
              <w:rPr>
                <w:rFonts w:hint="eastAsia" w:ascii="宋体" w:hAnsi="宋体" w:eastAsia="宋体" w:cs="宋体"/>
                <w:i w:val="0"/>
                <w:iCs w:val="0"/>
                <w:color w:val="000000"/>
                <w:sz w:val="20"/>
                <w:szCs w:val="20"/>
                <w:u w:val="none"/>
              </w:rPr>
            </w:pPr>
          </w:p>
        </w:tc>
      </w:tr>
      <w:tr w14:paraId="6556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D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学生宿舍3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1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2920.49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DF1">
            <w:pPr>
              <w:jc w:val="center"/>
              <w:rPr>
                <w:rFonts w:hint="eastAsia" w:ascii="宋体" w:hAnsi="宋体" w:eastAsia="宋体" w:cs="宋体"/>
                <w:i w:val="0"/>
                <w:iCs w:val="0"/>
                <w:color w:val="000000"/>
                <w:sz w:val="20"/>
                <w:szCs w:val="20"/>
                <w:u w:val="none"/>
              </w:rPr>
            </w:pPr>
          </w:p>
        </w:tc>
      </w:tr>
      <w:tr w14:paraId="48CA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负一层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5520.46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9ED">
            <w:pPr>
              <w:jc w:val="center"/>
              <w:rPr>
                <w:rFonts w:hint="eastAsia" w:ascii="宋体" w:hAnsi="宋体" w:eastAsia="宋体" w:cs="宋体"/>
                <w:i w:val="0"/>
                <w:iCs w:val="0"/>
                <w:color w:val="000000"/>
                <w:sz w:val="20"/>
                <w:szCs w:val="20"/>
                <w:u w:val="none"/>
              </w:rPr>
            </w:pPr>
          </w:p>
        </w:tc>
      </w:tr>
      <w:tr w14:paraId="197F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8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813F">
            <w:pPr>
              <w:jc w:val="center"/>
              <w:rPr>
                <w:rFonts w:hint="eastAsia" w:ascii="宋体" w:hAnsi="宋体" w:eastAsia="宋体" w:cs="宋体"/>
                <w:i w:val="0"/>
                <w:iCs w:val="0"/>
                <w:color w:val="000000"/>
                <w:sz w:val="20"/>
                <w:szCs w:val="20"/>
                <w:u w:val="none"/>
              </w:rPr>
            </w:pPr>
          </w:p>
        </w:tc>
      </w:tr>
      <w:tr w14:paraId="7C77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4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校企合作基地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1082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F7B">
            <w:pPr>
              <w:jc w:val="center"/>
              <w:rPr>
                <w:rFonts w:hint="eastAsia" w:ascii="宋体" w:hAnsi="宋体" w:eastAsia="宋体" w:cs="宋体"/>
                <w:i w:val="0"/>
                <w:iCs w:val="0"/>
                <w:color w:val="000000"/>
                <w:sz w:val="20"/>
                <w:szCs w:val="20"/>
                <w:u w:val="none"/>
              </w:rPr>
            </w:pPr>
          </w:p>
        </w:tc>
      </w:tr>
      <w:tr w14:paraId="2C5A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3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实习工厂车间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1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8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1462.93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F49">
            <w:pPr>
              <w:jc w:val="center"/>
              <w:rPr>
                <w:rFonts w:hint="eastAsia" w:ascii="宋体" w:hAnsi="宋体" w:eastAsia="宋体" w:cs="宋体"/>
                <w:i w:val="0"/>
                <w:iCs w:val="0"/>
                <w:color w:val="000000"/>
                <w:sz w:val="20"/>
                <w:szCs w:val="20"/>
                <w:u w:val="none"/>
              </w:rPr>
            </w:pPr>
          </w:p>
        </w:tc>
      </w:tr>
      <w:tr w14:paraId="7D46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A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新能源实训车间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F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402.28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423B">
            <w:pPr>
              <w:jc w:val="center"/>
              <w:rPr>
                <w:rFonts w:hint="eastAsia" w:ascii="宋体" w:hAnsi="宋体" w:eastAsia="宋体" w:cs="宋体"/>
                <w:i w:val="0"/>
                <w:iCs w:val="0"/>
                <w:color w:val="000000"/>
                <w:sz w:val="20"/>
                <w:szCs w:val="20"/>
                <w:u w:val="none"/>
              </w:rPr>
            </w:pPr>
          </w:p>
        </w:tc>
      </w:tr>
      <w:tr w14:paraId="1B62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6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8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一区学生宿舍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B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1854.85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43F8">
            <w:pPr>
              <w:jc w:val="center"/>
              <w:rPr>
                <w:rFonts w:hint="eastAsia" w:ascii="宋体" w:hAnsi="宋体" w:eastAsia="宋体" w:cs="宋体"/>
                <w:i w:val="0"/>
                <w:iCs w:val="0"/>
                <w:color w:val="000000"/>
                <w:sz w:val="20"/>
                <w:szCs w:val="20"/>
                <w:u w:val="none"/>
              </w:rPr>
            </w:pPr>
          </w:p>
        </w:tc>
      </w:tr>
      <w:tr w14:paraId="7212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幼师实训场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E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F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814.28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5AA2">
            <w:pPr>
              <w:jc w:val="left"/>
              <w:rPr>
                <w:rFonts w:hint="eastAsia" w:ascii="宋体" w:hAnsi="宋体" w:eastAsia="宋体" w:cs="宋体"/>
                <w:i w:val="0"/>
                <w:iCs w:val="0"/>
                <w:color w:val="000000"/>
                <w:sz w:val="20"/>
                <w:szCs w:val="20"/>
                <w:u w:val="none"/>
              </w:rPr>
            </w:pPr>
          </w:p>
        </w:tc>
      </w:tr>
      <w:tr w14:paraId="43FE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4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F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烹饪实训场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8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814.28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E1DA">
            <w:pPr>
              <w:jc w:val="left"/>
              <w:rPr>
                <w:rFonts w:hint="eastAsia" w:ascii="宋体" w:hAnsi="宋体" w:eastAsia="宋体" w:cs="宋体"/>
                <w:i w:val="0"/>
                <w:iCs w:val="0"/>
                <w:color w:val="000000"/>
                <w:sz w:val="20"/>
                <w:szCs w:val="20"/>
                <w:u w:val="none"/>
              </w:rPr>
            </w:pPr>
          </w:p>
        </w:tc>
      </w:tr>
      <w:tr w14:paraId="17B7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2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学生饭堂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5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814.28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02D2">
            <w:pPr>
              <w:jc w:val="left"/>
              <w:rPr>
                <w:rFonts w:hint="eastAsia" w:ascii="宋体" w:hAnsi="宋体" w:eastAsia="宋体" w:cs="宋体"/>
                <w:i w:val="0"/>
                <w:iCs w:val="0"/>
                <w:color w:val="000000"/>
                <w:sz w:val="20"/>
                <w:szCs w:val="20"/>
                <w:u w:val="none"/>
              </w:rPr>
            </w:pPr>
          </w:p>
        </w:tc>
      </w:tr>
      <w:tr w14:paraId="16DE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5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2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学生宿舍4号楼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1971.25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2C4E">
            <w:pPr>
              <w:jc w:val="left"/>
              <w:rPr>
                <w:rFonts w:hint="eastAsia" w:ascii="宋体" w:hAnsi="宋体" w:eastAsia="宋体" w:cs="宋体"/>
                <w:i w:val="0"/>
                <w:iCs w:val="0"/>
                <w:color w:val="000000"/>
                <w:sz w:val="20"/>
                <w:szCs w:val="20"/>
                <w:u w:val="none"/>
              </w:rPr>
            </w:pPr>
          </w:p>
        </w:tc>
      </w:tr>
      <w:tr w14:paraId="646D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招待所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310.00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52C">
            <w:pPr>
              <w:jc w:val="left"/>
              <w:rPr>
                <w:rFonts w:hint="eastAsia" w:ascii="宋体" w:hAnsi="宋体" w:eastAsia="宋体" w:cs="宋体"/>
                <w:i w:val="0"/>
                <w:iCs w:val="0"/>
                <w:color w:val="000000"/>
                <w:sz w:val="20"/>
                <w:szCs w:val="20"/>
                <w:u w:val="none"/>
              </w:rPr>
            </w:pPr>
          </w:p>
        </w:tc>
      </w:tr>
      <w:tr w14:paraId="35B9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9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半坡仓库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6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C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456.35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2B89">
            <w:pPr>
              <w:jc w:val="left"/>
              <w:rPr>
                <w:rFonts w:hint="eastAsia" w:ascii="宋体" w:hAnsi="宋体" w:eastAsia="宋体" w:cs="宋体"/>
                <w:i w:val="0"/>
                <w:iCs w:val="0"/>
                <w:color w:val="000000"/>
                <w:sz w:val="20"/>
                <w:szCs w:val="20"/>
                <w:u w:val="none"/>
              </w:rPr>
            </w:pPr>
          </w:p>
        </w:tc>
      </w:tr>
      <w:tr w14:paraId="17A2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B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汽车发动机车间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5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364.88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97D">
            <w:pPr>
              <w:jc w:val="left"/>
              <w:rPr>
                <w:rFonts w:hint="eastAsia" w:ascii="宋体" w:hAnsi="宋体" w:eastAsia="宋体" w:cs="宋体"/>
                <w:i w:val="0"/>
                <w:iCs w:val="0"/>
                <w:color w:val="000000"/>
                <w:sz w:val="20"/>
                <w:szCs w:val="20"/>
                <w:u w:val="none"/>
              </w:rPr>
            </w:pPr>
          </w:p>
        </w:tc>
      </w:tr>
      <w:tr w14:paraId="50C4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D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D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汽车电工实训车间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E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364.88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3990">
            <w:pPr>
              <w:jc w:val="left"/>
              <w:rPr>
                <w:rFonts w:hint="eastAsia" w:ascii="宋体" w:hAnsi="宋体" w:eastAsia="宋体" w:cs="宋体"/>
                <w:i w:val="0"/>
                <w:iCs w:val="0"/>
                <w:color w:val="000000"/>
                <w:sz w:val="20"/>
                <w:szCs w:val="20"/>
                <w:u w:val="none"/>
              </w:rPr>
            </w:pPr>
          </w:p>
        </w:tc>
      </w:tr>
      <w:tr w14:paraId="0B80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D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学生宿舍4号楼前仓库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0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0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375.00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F466">
            <w:pPr>
              <w:jc w:val="left"/>
              <w:rPr>
                <w:rFonts w:hint="eastAsia" w:ascii="宋体" w:hAnsi="宋体" w:eastAsia="宋体" w:cs="宋体"/>
                <w:i w:val="0"/>
                <w:iCs w:val="0"/>
                <w:color w:val="000000"/>
                <w:sz w:val="20"/>
                <w:szCs w:val="20"/>
                <w:u w:val="none"/>
              </w:rPr>
            </w:pPr>
          </w:p>
        </w:tc>
      </w:tr>
      <w:tr w14:paraId="205D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B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建筑面积合计：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33868.41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B5B">
            <w:pPr>
              <w:jc w:val="center"/>
              <w:rPr>
                <w:rFonts w:hint="eastAsia" w:ascii="宋体" w:hAnsi="宋体" w:eastAsia="宋体" w:cs="宋体"/>
                <w:i w:val="0"/>
                <w:iCs w:val="0"/>
                <w:color w:val="000000"/>
                <w:sz w:val="20"/>
                <w:szCs w:val="20"/>
                <w:u w:val="none"/>
              </w:rPr>
            </w:pPr>
          </w:p>
        </w:tc>
      </w:tr>
      <w:tr w14:paraId="316D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绿化面积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D8E">
            <w:pPr>
              <w:jc w:val="center"/>
              <w:rPr>
                <w:rFonts w:hint="eastAsia" w:ascii="宋体" w:hAnsi="宋体" w:eastAsia="宋体" w:cs="宋体"/>
                <w:i w:val="0"/>
                <w:iCs w:val="0"/>
                <w:color w:val="000000"/>
                <w:sz w:val="20"/>
                <w:szCs w:val="20"/>
                <w:u w:val="none"/>
              </w:rPr>
            </w:pPr>
          </w:p>
        </w:tc>
      </w:tr>
      <w:tr w14:paraId="580D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A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室外硬化地面面积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B9AE">
            <w:pPr>
              <w:jc w:val="center"/>
              <w:rPr>
                <w:rFonts w:hint="eastAsia" w:ascii="宋体" w:hAnsi="宋体" w:eastAsia="宋体" w:cs="宋体"/>
                <w:i w:val="0"/>
                <w:iCs w:val="0"/>
                <w:color w:val="000000"/>
                <w:sz w:val="20"/>
                <w:szCs w:val="20"/>
                <w:u w:val="none"/>
              </w:rPr>
            </w:pPr>
          </w:p>
        </w:tc>
      </w:tr>
      <w:tr w14:paraId="5A86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4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梅州校区占地面积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3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约54亩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BB01">
            <w:pPr>
              <w:jc w:val="center"/>
              <w:rPr>
                <w:rFonts w:hint="eastAsia" w:ascii="宋体" w:hAnsi="宋体" w:eastAsia="宋体" w:cs="宋体"/>
                <w:i w:val="0"/>
                <w:iCs w:val="0"/>
                <w:color w:val="000000"/>
                <w:sz w:val="20"/>
                <w:szCs w:val="20"/>
                <w:u w:val="none"/>
              </w:rPr>
            </w:pPr>
          </w:p>
        </w:tc>
      </w:tr>
    </w:tbl>
    <w:p w14:paraId="7BFA46AF">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spacing w:val="11"/>
          <w:sz w:val="24"/>
          <w:szCs w:val="24"/>
          <w:highlight w:val="none"/>
        </w:rPr>
      </w:pPr>
    </w:p>
    <w:p w14:paraId="7628C7B0">
      <w:pPr>
        <w:pStyle w:val="5"/>
        <w:keepNext w:val="0"/>
        <w:keepLines w:val="0"/>
        <w:pageBreakBefore w:val="0"/>
        <w:widowControl w:val="0"/>
        <w:kinsoku w:val="0"/>
        <w:wordWrap/>
        <w:overflowPunct/>
        <w:topLinePunct w:val="0"/>
        <w:autoSpaceDE w:val="0"/>
        <w:autoSpaceDN w:val="0"/>
        <w:bidi w:val="0"/>
        <w:adjustRightInd w:val="0"/>
        <w:snapToGrid w:val="0"/>
        <w:spacing w:before="8" w:line="360" w:lineRule="auto"/>
        <w:textAlignment w:val="baseline"/>
        <w:outlineLvl w:val="0"/>
        <w:rPr>
          <w:sz w:val="24"/>
          <w:szCs w:val="24"/>
        </w:rPr>
      </w:pPr>
      <w:r>
        <w:rPr>
          <w:rFonts w:ascii="宋体" w:hAnsi="宋体" w:eastAsia="宋体" w:cs="宋体"/>
          <w:b/>
          <w:bCs/>
          <w:spacing w:val="-1"/>
          <w:sz w:val="24"/>
          <w:szCs w:val="24"/>
        </w:rPr>
        <w:t>2、</w:t>
      </w:r>
      <w:r>
        <w:rPr>
          <w:b/>
          <w:bCs/>
          <w:spacing w:val="-1"/>
          <w:sz w:val="24"/>
          <w:szCs w:val="24"/>
        </w:rPr>
        <w:t>其他情况</w:t>
      </w:r>
    </w:p>
    <w:p w14:paraId="3C4E554F">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36" w:firstLineChars="200"/>
        <w:textAlignment w:val="baseline"/>
        <w:rPr>
          <w:rFonts w:hint="eastAsia" w:eastAsia="仿宋"/>
          <w:sz w:val="24"/>
          <w:szCs w:val="24"/>
          <w:lang w:val="en-US" w:eastAsia="zh-CN"/>
        </w:rPr>
      </w:pPr>
      <w:r>
        <w:rPr>
          <w:spacing w:val="14"/>
          <w:sz w:val="24"/>
          <w:szCs w:val="24"/>
        </w:rPr>
        <w:t>服务区域内可向供应商提供物业办公/服务用房</w:t>
      </w:r>
      <w:r>
        <w:rPr>
          <w:spacing w:val="13"/>
          <w:sz w:val="24"/>
          <w:szCs w:val="24"/>
        </w:rPr>
        <w:t>1间(</w:t>
      </w:r>
      <w:r>
        <w:rPr>
          <w:rFonts w:hint="eastAsia"/>
          <w:spacing w:val="13"/>
          <w:sz w:val="24"/>
          <w:szCs w:val="24"/>
          <w:lang w:val="en-US" w:eastAsia="zh-CN"/>
        </w:rPr>
        <w:t>约15</w:t>
      </w:r>
      <w:r>
        <w:rPr>
          <w:spacing w:val="13"/>
          <w:sz w:val="24"/>
          <w:szCs w:val="24"/>
        </w:rPr>
        <w:t>平方</w:t>
      </w:r>
      <w:r>
        <w:rPr>
          <w:spacing w:val="20"/>
          <w:sz w:val="24"/>
          <w:szCs w:val="24"/>
        </w:rPr>
        <w:t>米),位置：学校南二道门侧</w:t>
      </w:r>
      <w:r>
        <w:rPr>
          <w:rFonts w:hint="eastAsia"/>
          <w:spacing w:val="20"/>
          <w:sz w:val="24"/>
          <w:szCs w:val="24"/>
          <w:lang w:val="en-US" w:eastAsia="zh-CN"/>
        </w:rPr>
        <w:t>。</w:t>
      </w:r>
    </w:p>
    <w:p w14:paraId="6B877DD6">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0" w:firstLineChars="0"/>
        <w:textAlignment w:val="baseline"/>
        <w:outlineLvl w:val="0"/>
        <w:rPr>
          <w:sz w:val="24"/>
          <w:szCs w:val="24"/>
        </w:rPr>
      </w:pPr>
      <w:r>
        <w:rPr>
          <w:b/>
          <w:bCs/>
          <w:spacing w:val="10"/>
          <w:sz w:val="24"/>
          <w:szCs w:val="24"/>
        </w:rPr>
        <w:t>(二)、物业服务需求内容明细</w:t>
      </w:r>
    </w:p>
    <w:p w14:paraId="2AE17440">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76" w:firstLineChars="200"/>
        <w:jc w:val="both"/>
        <w:textAlignment w:val="baseline"/>
        <w:rPr>
          <w:sz w:val="24"/>
          <w:szCs w:val="24"/>
        </w:rPr>
      </w:pPr>
      <w:r>
        <w:rPr>
          <w:spacing w:val="-1"/>
          <w:sz w:val="24"/>
          <w:szCs w:val="24"/>
        </w:rPr>
        <w:t>物业管理服务范围包括公共场所、场地清洁、保洁服务；水电维</w:t>
      </w:r>
      <w:r>
        <w:rPr>
          <w:sz w:val="24"/>
          <w:szCs w:val="24"/>
        </w:rPr>
        <w:t>护服务；水池清洗服务；化粪池清理服务；垃圾清理服务；管道疏通</w:t>
      </w:r>
      <w:r>
        <w:rPr>
          <w:spacing w:val="14"/>
          <w:sz w:val="24"/>
          <w:szCs w:val="24"/>
        </w:rPr>
        <w:t>服务(含学生宿舍内卫生间);绿化养护服务；除四害消杀，蚁</w:t>
      </w:r>
      <w:r>
        <w:rPr>
          <w:spacing w:val="13"/>
          <w:sz w:val="24"/>
          <w:szCs w:val="24"/>
        </w:rPr>
        <w:t>类、</w:t>
      </w:r>
      <w:r>
        <w:rPr>
          <w:spacing w:val="-1"/>
          <w:sz w:val="24"/>
          <w:szCs w:val="24"/>
        </w:rPr>
        <w:t>蜂、蛇防治，防疫消毒服务。</w:t>
      </w:r>
    </w:p>
    <w:p w14:paraId="31B827C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0" w:firstLineChars="0"/>
        <w:textAlignment w:val="baseline"/>
        <w:outlineLvl w:val="0"/>
        <w:rPr>
          <w:sz w:val="24"/>
          <w:szCs w:val="24"/>
        </w:rPr>
      </w:pPr>
      <w:r>
        <w:rPr>
          <w:rFonts w:ascii="宋体" w:hAnsi="宋体" w:eastAsia="宋体" w:cs="宋体"/>
          <w:b/>
          <w:bCs/>
          <w:spacing w:val="-1"/>
          <w:sz w:val="24"/>
          <w:szCs w:val="24"/>
        </w:rPr>
        <w:t>1.</w:t>
      </w:r>
      <w:r>
        <w:rPr>
          <w:b/>
          <w:bCs/>
          <w:spacing w:val="-1"/>
          <w:sz w:val="24"/>
          <w:szCs w:val="24"/>
        </w:rPr>
        <w:t>环境卫生与保洁管理</w:t>
      </w:r>
    </w:p>
    <w:p w14:paraId="0634AE52">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64" w:firstLineChars="200"/>
        <w:jc w:val="both"/>
        <w:textAlignment w:val="baseline"/>
        <w:rPr>
          <w:sz w:val="24"/>
          <w:szCs w:val="24"/>
        </w:rPr>
      </w:pPr>
      <w:r>
        <w:rPr>
          <w:rFonts w:hint="eastAsia"/>
          <w:spacing w:val="-4"/>
          <w:sz w:val="24"/>
          <w:szCs w:val="24"/>
          <w:lang w:eastAsia="zh-CN"/>
        </w:rPr>
        <w:t>（</w:t>
      </w:r>
      <w:r>
        <w:rPr>
          <w:rFonts w:hint="eastAsia"/>
          <w:spacing w:val="-4"/>
          <w:sz w:val="24"/>
          <w:szCs w:val="24"/>
          <w:lang w:val="en-US" w:eastAsia="zh-CN"/>
        </w:rPr>
        <w:t>1</w:t>
      </w:r>
      <w:r>
        <w:rPr>
          <w:rFonts w:hint="eastAsia"/>
          <w:spacing w:val="-4"/>
          <w:sz w:val="24"/>
          <w:szCs w:val="24"/>
          <w:lang w:eastAsia="zh-CN"/>
        </w:rPr>
        <w:t>）</w:t>
      </w:r>
      <w:r>
        <w:rPr>
          <w:spacing w:val="-4"/>
          <w:sz w:val="24"/>
          <w:szCs w:val="24"/>
        </w:rPr>
        <w:t>每天1次门厅用水拖抹，雨天随脏随抹；对人员走动频繁之</w:t>
      </w:r>
      <w:r>
        <w:rPr>
          <w:spacing w:val="1"/>
          <w:sz w:val="24"/>
          <w:szCs w:val="24"/>
        </w:rPr>
        <w:t>地，进行不间断巡回保洁。要求做到地面干净、保持材料本色，无明</w:t>
      </w:r>
      <w:r>
        <w:rPr>
          <w:spacing w:val="12"/>
          <w:sz w:val="24"/>
          <w:szCs w:val="24"/>
        </w:rPr>
        <w:t>显灰尘、污渍和杂物，无积水。发现杂物、废弃物应在</w:t>
      </w:r>
      <w:r>
        <w:rPr>
          <w:spacing w:val="11"/>
          <w:sz w:val="24"/>
          <w:szCs w:val="24"/>
        </w:rPr>
        <w:t>1小时内清</w:t>
      </w:r>
      <w:r>
        <w:rPr>
          <w:spacing w:val="10"/>
          <w:sz w:val="24"/>
          <w:szCs w:val="24"/>
        </w:rPr>
        <w:t>理。特殊情况或特殊时期要每天1次消毒。</w:t>
      </w:r>
    </w:p>
    <w:p w14:paraId="5A8B027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6" w:firstLineChars="200"/>
        <w:textAlignment w:val="baseline"/>
        <w:rPr>
          <w:sz w:val="24"/>
          <w:szCs w:val="24"/>
        </w:rPr>
      </w:pPr>
      <w:r>
        <w:rPr>
          <w:spacing w:val="9"/>
          <w:sz w:val="24"/>
          <w:szCs w:val="24"/>
        </w:rPr>
        <w:t>(2)区域内垃圾实行袋装化，在采购人指定的各公</w:t>
      </w:r>
      <w:r>
        <w:rPr>
          <w:spacing w:val="8"/>
          <w:sz w:val="24"/>
          <w:szCs w:val="24"/>
        </w:rPr>
        <w:t>共部位设立公</w:t>
      </w:r>
      <w:r>
        <w:rPr>
          <w:spacing w:val="-3"/>
          <w:sz w:val="24"/>
          <w:szCs w:val="24"/>
        </w:rPr>
        <w:t>共垃圾箱，在露天公共部位设立杂物箱，由专人</w:t>
      </w:r>
      <w:r>
        <w:rPr>
          <w:spacing w:val="-4"/>
          <w:sz w:val="24"/>
          <w:szCs w:val="24"/>
        </w:rPr>
        <w:t>分类、清运、处理(包</w:t>
      </w:r>
      <w:r>
        <w:rPr>
          <w:spacing w:val="10"/>
          <w:sz w:val="24"/>
          <w:szCs w:val="24"/>
        </w:rPr>
        <w:t>括联系环卫部门运出处理)。</w:t>
      </w:r>
    </w:p>
    <w:p w14:paraId="11FCC280">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6" w:firstLineChars="200"/>
        <w:textAlignment w:val="baseline"/>
        <w:rPr>
          <w:sz w:val="24"/>
          <w:szCs w:val="24"/>
        </w:rPr>
      </w:pPr>
      <w:r>
        <w:rPr>
          <w:spacing w:val="9"/>
          <w:sz w:val="24"/>
          <w:szCs w:val="24"/>
        </w:rPr>
        <w:t>(3)及时清扫服务区域地面积水、垃圾、烟头、</w:t>
      </w:r>
      <w:r>
        <w:rPr>
          <w:spacing w:val="8"/>
          <w:sz w:val="24"/>
          <w:szCs w:val="24"/>
        </w:rPr>
        <w:t>枯叶等，使保持</w:t>
      </w:r>
      <w:r>
        <w:rPr>
          <w:sz w:val="24"/>
          <w:szCs w:val="24"/>
        </w:rPr>
        <w:t>干净、无杂物、无积水等。</w:t>
      </w:r>
    </w:p>
    <w:p w14:paraId="06634C9A">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spacing w:val="2"/>
          <w:sz w:val="24"/>
          <w:szCs w:val="24"/>
          <w:lang w:eastAsia="zh-CN"/>
        </w:rPr>
      </w:pPr>
      <w:r>
        <w:rPr>
          <w:spacing w:val="4"/>
          <w:sz w:val="24"/>
          <w:szCs w:val="24"/>
        </w:rPr>
        <w:t>(4)根据相关设备、场地的污染程度，定期对垃圾筒清洁或清洗，</w:t>
      </w:r>
      <w:r>
        <w:rPr>
          <w:spacing w:val="2"/>
          <w:sz w:val="24"/>
          <w:szCs w:val="24"/>
        </w:rPr>
        <w:t>定期对停车场、室外地面进行高压冲洗</w:t>
      </w:r>
      <w:r>
        <w:rPr>
          <w:rFonts w:hint="eastAsia"/>
          <w:spacing w:val="2"/>
          <w:sz w:val="24"/>
          <w:szCs w:val="24"/>
          <w:lang w:eastAsia="zh-CN"/>
        </w:rPr>
        <w:t>。</w:t>
      </w:r>
    </w:p>
    <w:p w14:paraId="3371D921">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sz w:val="24"/>
          <w:szCs w:val="24"/>
        </w:rPr>
      </w:pPr>
      <w:r>
        <w:rPr>
          <w:spacing w:val="8"/>
          <w:sz w:val="24"/>
          <w:szCs w:val="24"/>
        </w:rPr>
        <w:t>(5)不少于每天1次对采购人指定的公共设备、设施的表面进行</w:t>
      </w:r>
      <w:r>
        <w:rPr>
          <w:spacing w:val="7"/>
          <w:sz w:val="24"/>
          <w:szCs w:val="24"/>
        </w:rPr>
        <w:t>清洁、抹净处理，保持洁净。每天1次擦净、抹净各会议室、接待</w:t>
      </w:r>
      <w:r>
        <w:rPr>
          <w:sz w:val="24"/>
          <w:szCs w:val="24"/>
        </w:rPr>
        <w:t>室、休息室等的办公桌、讲台、文件柜等家具。</w:t>
      </w:r>
      <w:r>
        <w:rPr>
          <w:spacing w:val="-1"/>
          <w:sz w:val="24"/>
          <w:szCs w:val="24"/>
        </w:rPr>
        <w:t>门窗、梯间内、楼梯</w:t>
      </w:r>
      <w:r>
        <w:rPr>
          <w:spacing w:val="11"/>
          <w:sz w:val="24"/>
          <w:szCs w:val="24"/>
        </w:rPr>
        <w:t>扶手、灯饰、栏杆、指示牌等无污渍及明显灰尘。不少于每月1次</w:t>
      </w:r>
      <w:r>
        <w:rPr>
          <w:spacing w:val="-1"/>
          <w:sz w:val="24"/>
          <w:szCs w:val="24"/>
        </w:rPr>
        <w:t>用水冲洗所有水泥地面、沥青地面等。</w:t>
      </w:r>
    </w:p>
    <w:p w14:paraId="0CAE223F">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(6)每天清洗及保洁各公共区域的洗手间</w:t>
      </w:r>
      <w:r>
        <w:rPr>
          <w:spacing w:val="6"/>
          <w:sz w:val="24"/>
          <w:szCs w:val="24"/>
        </w:rPr>
        <w:t>、检查更换洗手液。厕</w:t>
      </w:r>
      <w:r>
        <w:rPr>
          <w:spacing w:val="-1"/>
          <w:sz w:val="24"/>
          <w:szCs w:val="24"/>
        </w:rPr>
        <w:t>所内无臭无味，目视地面、坑位、小便池、洗手盆干净，无尿迹、痰迹和其它污迹，无茶渣、烟头、纸巾、果皮等垃圾存在，特殊情况需</w:t>
      </w:r>
      <w:r>
        <w:rPr>
          <w:spacing w:val="1"/>
          <w:sz w:val="24"/>
          <w:szCs w:val="24"/>
        </w:rPr>
        <w:t>按实际加强消毒频次；相关消耗品的提供另</w:t>
      </w:r>
      <w:r>
        <w:rPr>
          <w:sz w:val="24"/>
          <w:szCs w:val="24"/>
        </w:rPr>
        <w:t>行约定。</w:t>
      </w:r>
    </w:p>
    <w:p w14:paraId="592D8FC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0" w:firstLineChars="200"/>
        <w:textAlignment w:val="baseline"/>
        <w:rPr>
          <w:sz w:val="24"/>
          <w:szCs w:val="24"/>
        </w:rPr>
      </w:pPr>
      <w:r>
        <w:rPr>
          <w:spacing w:val="10"/>
          <w:sz w:val="24"/>
          <w:szCs w:val="24"/>
        </w:rPr>
        <w:t>(7)不少于每周1次检查并清扫大楼天台、设备机房等。</w:t>
      </w:r>
    </w:p>
    <w:p w14:paraId="4FD20398">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(8)作业时应小心执扫，控制扬尘，不扰民，不溅</w:t>
      </w:r>
      <w:r>
        <w:rPr>
          <w:spacing w:val="6"/>
          <w:sz w:val="24"/>
          <w:szCs w:val="24"/>
        </w:rPr>
        <w:t>污行人及住户</w:t>
      </w:r>
      <w:r>
        <w:rPr>
          <w:sz w:val="24"/>
          <w:szCs w:val="24"/>
        </w:rPr>
        <w:t>衣物，避免妨碍行人和车辆正常行驶。</w:t>
      </w:r>
    </w:p>
    <w:p w14:paraId="284C93A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textAlignment w:val="baseline"/>
        <w:rPr>
          <w:sz w:val="24"/>
          <w:szCs w:val="24"/>
        </w:rPr>
      </w:pPr>
      <w:r>
        <w:rPr>
          <w:spacing w:val="6"/>
          <w:sz w:val="24"/>
          <w:szCs w:val="24"/>
        </w:rPr>
        <w:t>(9)垃圾分类：负责处理服务区域内垃圾分类工作，配合相关部</w:t>
      </w:r>
      <w:r>
        <w:rPr>
          <w:spacing w:val="-1"/>
          <w:sz w:val="24"/>
          <w:szCs w:val="24"/>
        </w:rPr>
        <w:t>门处理特定类型的垃圾。垃圾投放点按规定标注：垃圾分类标志，垃</w:t>
      </w:r>
      <w:r>
        <w:rPr>
          <w:sz w:val="24"/>
          <w:szCs w:val="24"/>
        </w:rPr>
        <w:t>圾分类标志符合</w:t>
      </w:r>
      <w:r>
        <w:rPr>
          <w:rFonts w:ascii="Times New Roman" w:hAnsi="Times New Roman" w:eastAsia="Times New Roman" w:cs="Times New Roman"/>
          <w:sz w:val="24"/>
          <w:szCs w:val="24"/>
        </w:rPr>
        <w:t>GB/T19095</w:t>
      </w:r>
      <w:r>
        <w:rPr>
          <w:sz w:val="24"/>
          <w:szCs w:val="24"/>
        </w:rPr>
        <w:t>规范。</w:t>
      </w:r>
    </w:p>
    <w:p w14:paraId="2353EFB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textAlignment w:val="baseline"/>
        <w:rPr>
          <w:sz w:val="24"/>
          <w:szCs w:val="24"/>
        </w:rPr>
      </w:pPr>
      <w:r>
        <w:rPr>
          <w:spacing w:val="12"/>
          <w:sz w:val="24"/>
          <w:szCs w:val="24"/>
        </w:rPr>
        <w:t>(10)垃圾清运、处理分为：生活垃圾(有机、无机、有害垃圾)</w:t>
      </w:r>
      <w:r>
        <w:rPr>
          <w:spacing w:val="-1"/>
          <w:sz w:val="24"/>
          <w:szCs w:val="24"/>
        </w:rPr>
        <w:t>清运处理、督促装修垃圾清运处理和废纸及可再生废物的回收。所有</w:t>
      </w:r>
      <w:r>
        <w:rPr>
          <w:spacing w:val="1"/>
          <w:sz w:val="24"/>
          <w:szCs w:val="24"/>
        </w:rPr>
        <w:t>垃圾清运处理应符合广东省及省内各地有关法律、法规规定。</w:t>
      </w:r>
    </w:p>
    <w:p w14:paraId="2478B53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(11)垃圾清运、处理的范围分为：日常办公垃圾、日常生活垃圾、</w:t>
      </w:r>
      <w:r>
        <w:rPr>
          <w:sz w:val="24"/>
          <w:szCs w:val="24"/>
        </w:rPr>
        <w:t>日常厨余垃圾、建筑垃圾、公共通道、园林、道路等的综合垃圾。</w:t>
      </w:r>
    </w:p>
    <w:p w14:paraId="357F1DC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(12)垃圾清运、处理工作分为：收集区域内垃圾，并更换垃圾袋，</w:t>
      </w:r>
      <w:r>
        <w:rPr>
          <w:spacing w:val="13"/>
          <w:sz w:val="24"/>
          <w:szCs w:val="24"/>
        </w:rPr>
        <w:t>不少于每天1次清洁垃圾筒。不少于每天2次定时清</w:t>
      </w:r>
      <w:r>
        <w:rPr>
          <w:spacing w:val="12"/>
          <w:sz w:val="24"/>
          <w:szCs w:val="24"/>
        </w:rPr>
        <w:t>运、处理。将</w:t>
      </w:r>
      <w:r>
        <w:rPr>
          <w:spacing w:val="1"/>
          <w:sz w:val="24"/>
          <w:szCs w:val="24"/>
        </w:rPr>
        <w:t>物业项目内所有桶内垃圾清理干净封好胶袋口。</w:t>
      </w:r>
    </w:p>
    <w:p w14:paraId="1A6CE5C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2" w:firstLineChars="200"/>
        <w:textAlignment w:val="baseline"/>
        <w:rPr>
          <w:sz w:val="24"/>
          <w:szCs w:val="24"/>
        </w:rPr>
      </w:pPr>
      <w:r>
        <w:rPr>
          <w:spacing w:val="3"/>
          <w:sz w:val="24"/>
          <w:szCs w:val="24"/>
        </w:rPr>
        <w:t>(13)洁具、垃圾收集容器和运输工具：洁具、容器和运输工具要</w:t>
      </w:r>
      <w:r>
        <w:rPr>
          <w:spacing w:val="-1"/>
          <w:sz w:val="24"/>
          <w:szCs w:val="24"/>
        </w:rPr>
        <w:t>标识清楚，及时回收，定点摆放，保持洁净。扫帚、拖把、垃圾铲等</w:t>
      </w:r>
      <w:r>
        <w:rPr>
          <w:spacing w:val="7"/>
          <w:sz w:val="24"/>
          <w:szCs w:val="24"/>
        </w:rPr>
        <w:t>洁具随用随清洗；运输用大垃圾桶、手推车或机动车清洗每天1</w:t>
      </w:r>
      <w:r>
        <w:rPr>
          <w:spacing w:val="6"/>
          <w:sz w:val="24"/>
          <w:szCs w:val="24"/>
        </w:rPr>
        <w:t>次，</w:t>
      </w:r>
      <w:r>
        <w:rPr>
          <w:spacing w:val="10"/>
          <w:sz w:val="24"/>
          <w:szCs w:val="24"/>
        </w:rPr>
        <w:t>容器和工具完好率为90%以上。</w:t>
      </w:r>
    </w:p>
    <w:p w14:paraId="52D117D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pacing w:val="-1"/>
          <w:sz w:val="24"/>
          <w:szCs w:val="24"/>
        </w:rPr>
      </w:pPr>
      <w:r>
        <w:rPr>
          <w:spacing w:val="4"/>
          <w:sz w:val="24"/>
          <w:szCs w:val="24"/>
        </w:rPr>
        <w:t>(14)果皮箱随满随掏，垃圾无爆满落地</w:t>
      </w:r>
      <w:r>
        <w:rPr>
          <w:spacing w:val="3"/>
          <w:sz w:val="24"/>
          <w:szCs w:val="24"/>
        </w:rPr>
        <w:t>，周边无散落垃圾，无陈</w:t>
      </w:r>
      <w:r>
        <w:rPr>
          <w:spacing w:val="-5"/>
          <w:sz w:val="24"/>
          <w:szCs w:val="24"/>
        </w:rPr>
        <w:t>旧垃圾，无垃圾堆积。箱体经常擦拭、清洗，保持干净整洁，无异味、</w:t>
      </w:r>
      <w:r>
        <w:rPr>
          <w:spacing w:val="-1"/>
          <w:sz w:val="24"/>
          <w:szCs w:val="24"/>
        </w:rPr>
        <w:t>无旧污迹，无污水漫溢，箱桶周边地面整洁，无蝇、无臭。垃圾不外溢，周边无垃圾散落，无蝇、无臭、无残留或堆积垃圾。对服务区域内的清洁卫生检查工作符合DB44/T1047规范的要求。</w:t>
      </w:r>
    </w:p>
    <w:p w14:paraId="238B150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(15)保洁时间为：8:00-11:30,14:00—18:00,公共区域须在每天8:00前和14:30前完成清洁工作。</w:t>
      </w:r>
    </w:p>
    <w:p w14:paraId="47C7063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2" w:firstLineChars="200"/>
        <w:textAlignment w:val="baseline"/>
        <w:rPr>
          <w:sz w:val="24"/>
          <w:szCs w:val="24"/>
        </w:rPr>
      </w:pPr>
      <w:r>
        <w:rPr>
          <w:spacing w:val="13"/>
          <w:sz w:val="24"/>
          <w:szCs w:val="24"/>
        </w:rPr>
        <w:t>(16)为保持污水管及各区域卫生间便池(含学生宿舍)通畅，保</w:t>
      </w:r>
      <w:r>
        <w:rPr>
          <w:spacing w:val="16"/>
          <w:sz w:val="24"/>
          <w:szCs w:val="24"/>
        </w:rPr>
        <w:t>洁员及时对排水沟清扫(含明沟、暗沟),</w:t>
      </w:r>
    </w:p>
    <w:p w14:paraId="10F4A81A">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2" w:firstLineChars="200"/>
        <w:textAlignment w:val="baseline"/>
        <w:rPr>
          <w:sz w:val="24"/>
          <w:szCs w:val="24"/>
        </w:rPr>
      </w:pPr>
      <w:r>
        <w:rPr>
          <w:spacing w:val="13"/>
          <w:sz w:val="24"/>
          <w:szCs w:val="24"/>
        </w:rPr>
        <w:t>(17)保持化粪池工作正常，每月1次检查，每半年1次清掏，发</w:t>
      </w:r>
      <w:r>
        <w:rPr>
          <w:spacing w:val="-3"/>
          <w:sz w:val="24"/>
          <w:szCs w:val="24"/>
        </w:rPr>
        <w:t>现异常及时清掏。</w:t>
      </w:r>
    </w:p>
    <w:p w14:paraId="6820AF3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(18)室内高空保洁作业。对门厅、会议厅、多媒体室中的顶灯、</w:t>
      </w:r>
      <w:r>
        <w:rPr>
          <w:sz w:val="24"/>
          <w:szCs w:val="24"/>
        </w:rPr>
        <w:t>壁灯、吊灯、投影仪、音箱等悬挂器材以及其他安装于天花、墙壁高</w:t>
      </w:r>
      <w:r>
        <w:rPr>
          <w:spacing w:val="7"/>
          <w:sz w:val="24"/>
          <w:szCs w:val="24"/>
        </w:rPr>
        <w:t>处的设备，每月2次进行清洁打扫工作。</w:t>
      </w:r>
    </w:p>
    <w:p w14:paraId="454017F8">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6" w:firstLineChars="200"/>
        <w:textAlignment w:val="baseline"/>
        <w:rPr>
          <w:sz w:val="24"/>
          <w:szCs w:val="24"/>
        </w:rPr>
      </w:pPr>
      <w:r>
        <w:rPr>
          <w:spacing w:val="14"/>
          <w:sz w:val="24"/>
          <w:szCs w:val="24"/>
        </w:rPr>
        <w:t>(19)蓄水池清洗</w:t>
      </w:r>
    </w:p>
    <w:p w14:paraId="1E15F27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2"/>
          <w:sz w:val="24"/>
          <w:szCs w:val="24"/>
        </w:rPr>
        <w:t>中标人定期(至少每学期一次)对校区的蓄水设备进行清洗、消毒，</w:t>
      </w:r>
      <w:r>
        <w:rPr>
          <w:sz w:val="24"/>
          <w:szCs w:val="24"/>
        </w:rPr>
        <w:t>每季度对生活用水的水质进行检测，并及时将水质检测报告送交采购</w:t>
      </w:r>
      <w:r>
        <w:rPr>
          <w:spacing w:val="-5"/>
          <w:sz w:val="24"/>
          <w:szCs w:val="24"/>
        </w:rPr>
        <w:t>方管理部门。</w:t>
      </w:r>
    </w:p>
    <w:p w14:paraId="18A04FB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2" w:firstLineChars="200"/>
        <w:textAlignment w:val="baseline"/>
        <w:rPr>
          <w:sz w:val="24"/>
          <w:szCs w:val="24"/>
        </w:rPr>
      </w:pPr>
      <w:r>
        <w:rPr>
          <w:spacing w:val="13"/>
          <w:sz w:val="24"/>
          <w:szCs w:val="24"/>
        </w:rPr>
        <w:t>(20)风扇、空调清洗</w:t>
      </w:r>
    </w:p>
    <w:p w14:paraId="31191E36">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sz w:val="24"/>
          <w:szCs w:val="24"/>
        </w:rPr>
      </w:pPr>
      <w:r>
        <w:rPr>
          <w:spacing w:val="2"/>
          <w:sz w:val="24"/>
          <w:szCs w:val="24"/>
        </w:rPr>
        <w:t>每年至少一次对校区所有的风扇和空调过滤网进行清洗。</w:t>
      </w:r>
    </w:p>
    <w:p w14:paraId="083851ED">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sz w:val="24"/>
          <w:szCs w:val="24"/>
        </w:rPr>
      </w:pPr>
      <w:r>
        <w:rPr>
          <w:rFonts w:ascii="宋体" w:hAnsi="宋体" w:eastAsia="宋体" w:cs="宋体"/>
          <w:b/>
          <w:bCs/>
          <w:sz w:val="24"/>
          <w:szCs w:val="24"/>
        </w:rPr>
        <w:t>2.</w:t>
      </w:r>
      <w:r>
        <w:rPr>
          <w:b/>
          <w:bCs/>
          <w:sz w:val="24"/>
          <w:szCs w:val="24"/>
        </w:rPr>
        <w:t>绿化的养护和管理</w:t>
      </w:r>
    </w:p>
    <w:p w14:paraId="5935CA85">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spacing w:val="8"/>
          <w:sz w:val="24"/>
          <w:szCs w:val="24"/>
        </w:rPr>
        <w:t>(1)根据采购人需求提供苗木、盆栽及室内绿化、时花更换等服</w:t>
      </w:r>
      <w:r>
        <w:rPr>
          <w:spacing w:val="-8"/>
          <w:sz w:val="24"/>
          <w:szCs w:val="24"/>
        </w:rPr>
        <w:t>务。</w:t>
      </w:r>
    </w:p>
    <w:p w14:paraId="044E822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(2)专业的绿化管理，根据植物种类、状况定期浇水，及时修剪</w:t>
      </w:r>
      <w:r>
        <w:rPr>
          <w:spacing w:val="3"/>
          <w:sz w:val="24"/>
          <w:szCs w:val="24"/>
        </w:rPr>
        <w:t>枯枝、残技和养护树木、草坪、花卉、盆栽</w:t>
      </w:r>
      <w:r>
        <w:rPr>
          <w:spacing w:val="2"/>
          <w:sz w:val="24"/>
          <w:szCs w:val="24"/>
        </w:rPr>
        <w:t>等，除杂草、除病虫害、</w:t>
      </w:r>
      <w:r>
        <w:rPr>
          <w:spacing w:val="1"/>
          <w:sz w:val="24"/>
          <w:szCs w:val="24"/>
        </w:rPr>
        <w:t>防台风处理等执行专业的养护和管理工作。</w:t>
      </w:r>
    </w:p>
    <w:p w14:paraId="275E503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textAlignment w:val="baseline"/>
        <w:rPr>
          <w:sz w:val="24"/>
          <w:szCs w:val="24"/>
        </w:rPr>
      </w:pPr>
      <w:r>
        <w:rPr>
          <w:spacing w:val="12"/>
          <w:sz w:val="24"/>
          <w:szCs w:val="24"/>
        </w:rPr>
        <w:t>(3)每月2次清理绿化区域内的鼠迹、蟑迹和鼠洞堵塞，清理绿</w:t>
      </w:r>
      <w:r>
        <w:rPr>
          <w:spacing w:val="-4"/>
          <w:sz w:val="24"/>
          <w:szCs w:val="24"/>
        </w:rPr>
        <w:t>化区域内乱张贴和乱搭挂物；每天清理花盆、绿化地中的垃圾、杂物。</w:t>
      </w:r>
    </w:p>
    <w:p w14:paraId="21283B8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(4)根据植物特性定期施肥，施用符合国家规范的肥料。</w:t>
      </w:r>
    </w:p>
    <w:p w14:paraId="3414A53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(5)负责区域内水塘/水池垃圾的清理，保持水体清洁、给排水畅</w:t>
      </w:r>
      <w:r>
        <w:rPr>
          <w:spacing w:val="-8"/>
          <w:sz w:val="24"/>
          <w:szCs w:val="24"/>
        </w:rPr>
        <w:t>通。</w:t>
      </w:r>
    </w:p>
    <w:p w14:paraId="6438887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spacing w:val="8"/>
          <w:sz w:val="24"/>
          <w:szCs w:val="24"/>
        </w:rPr>
        <w:t>(6)服务区域内的树木按规定悬挂树种铭牌。</w:t>
      </w:r>
    </w:p>
    <w:p w14:paraId="395D4251">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spacing w:val="8"/>
          <w:sz w:val="24"/>
          <w:szCs w:val="24"/>
        </w:rPr>
        <w:t>(7)服务区域内的人造绿化景点布置、设置。</w:t>
      </w:r>
    </w:p>
    <w:p w14:paraId="13CA8D7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(8)节假日或重大接待任务期间的绿化物装点、布置。</w:t>
      </w:r>
    </w:p>
    <w:p w14:paraId="76BDC40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textAlignment w:val="baseline"/>
        <w:rPr>
          <w:sz w:val="24"/>
          <w:szCs w:val="24"/>
        </w:rPr>
      </w:pPr>
      <w:r>
        <w:rPr>
          <w:spacing w:val="12"/>
          <w:sz w:val="24"/>
          <w:szCs w:val="24"/>
        </w:rPr>
        <w:t>(9)草坪的养护及清洁：春夏两季每两月1次修剪，秋</w:t>
      </w:r>
      <w:r>
        <w:rPr>
          <w:spacing w:val="11"/>
          <w:sz w:val="24"/>
          <w:szCs w:val="24"/>
        </w:rPr>
        <w:t>冬两季根</w:t>
      </w:r>
      <w:r>
        <w:rPr>
          <w:spacing w:val="4"/>
          <w:sz w:val="24"/>
          <w:szCs w:val="24"/>
        </w:rPr>
        <w:t>据情况修剪。每次修剪后对草皮施肥1次，保持草坪常绿。草皮杂草每周1次巡查拔除，做到基本不见杂草。拾除草坪、花丛内纸屑、果</w:t>
      </w:r>
      <w:r>
        <w:rPr>
          <w:spacing w:val="-5"/>
          <w:sz w:val="24"/>
          <w:szCs w:val="24"/>
        </w:rPr>
        <w:t>皮等杂物。</w:t>
      </w:r>
    </w:p>
    <w:p w14:paraId="20C8481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(10)乔灌木、花卉的养护及清洁：每月1次巡查，及时修剪枯枝、</w:t>
      </w:r>
      <w:r>
        <w:rPr>
          <w:spacing w:val="3"/>
          <w:sz w:val="24"/>
          <w:szCs w:val="24"/>
        </w:rPr>
        <w:t>病虫枝、下垂妨碍观瞻和活动的枝条，修剪下的</w:t>
      </w:r>
      <w:r>
        <w:rPr>
          <w:spacing w:val="2"/>
          <w:sz w:val="24"/>
          <w:szCs w:val="24"/>
        </w:rPr>
        <w:t>枝叶要立即清除。</w:t>
      </w:r>
    </w:p>
    <w:p w14:paraId="0A8C0AF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(11)提倡生化物防治、人工防治，使用药剂须以</w:t>
      </w:r>
      <w:r>
        <w:rPr>
          <w:spacing w:val="3"/>
          <w:sz w:val="24"/>
          <w:szCs w:val="24"/>
        </w:rPr>
        <w:t>不伤害人体健康</w:t>
      </w:r>
      <w:r>
        <w:rPr>
          <w:spacing w:val="-6"/>
          <w:sz w:val="24"/>
          <w:szCs w:val="24"/>
        </w:rPr>
        <w:t>为前提，使用高效低毒的农药。在使用农药时，须做好人员保护措施，</w:t>
      </w:r>
      <w:r>
        <w:rPr>
          <w:spacing w:val="-1"/>
          <w:sz w:val="24"/>
          <w:szCs w:val="24"/>
        </w:rPr>
        <w:t>使用喷雾器时，注意天气情况，避免药液扩散或喷溅。每次养护工作完成后，应即时予以记录备案。</w:t>
      </w:r>
    </w:p>
    <w:p w14:paraId="1A661D68">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0" w:firstLineChars="200"/>
        <w:textAlignment w:val="baseline"/>
        <w:rPr>
          <w:sz w:val="24"/>
          <w:szCs w:val="24"/>
        </w:rPr>
      </w:pPr>
      <w:r>
        <w:rPr>
          <w:spacing w:val="5"/>
          <w:sz w:val="24"/>
          <w:szCs w:val="24"/>
        </w:rPr>
        <w:t>(12)具体养护、管理服务内容及配套设备等符合</w:t>
      </w:r>
      <w:r>
        <w:rPr>
          <w:rFonts w:ascii="Times New Roman" w:hAnsi="Times New Roman" w:eastAsia="Times New Roman" w:cs="Times New Roman"/>
          <w:sz w:val="24"/>
          <w:szCs w:val="24"/>
        </w:rPr>
        <w:t>DB</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4"/>
          <w:sz w:val="24"/>
          <w:szCs w:val="24"/>
        </w:rPr>
        <w:t>4/T968</w:t>
      </w:r>
      <w:r>
        <w:rPr>
          <w:spacing w:val="4"/>
          <w:sz w:val="24"/>
          <w:szCs w:val="24"/>
        </w:rPr>
        <w:t>及</w:t>
      </w:r>
      <w:r>
        <w:rPr>
          <w:rFonts w:ascii="宋体" w:hAnsi="宋体" w:eastAsia="宋体" w:cs="宋体"/>
          <w:sz w:val="24"/>
          <w:szCs w:val="24"/>
        </w:rPr>
        <w:t>DB</w:t>
      </w:r>
      <w:r>
        <w:rPr>
          <w:rFonts w:ascii="宋体" w:hAnsi="宋体" w:eastAsia="宋体" w:cs="宋体"/>
          <w:spacing w:val="5"/>
          <w:sz w:val="24"/>
          <w:szCs w:val="24"/>
        </w:rPr>
        <w:t>44/T1049</w:t>
      </w:r>
      <w:r>
        <w:rPr>
          <w:spacing w:val="5"/>
          <w:sz w:val="24"/>
          <w:szCs w:val="24"/>
        </w:rPr>
        <w:t>规范，以及项目所在地关于园林绿化养护</w:t>
      </w:r>
      <w:r>
        <w:rPr>
          <w:spacing w:val="4"/>
          <w:sz w:val="24"/>
          <w:szCs w:val="24"/>
        </w:rPr>
        <w:t>标准的要求。</w:t>
      </w:r>
    </w:p>
    <w:p w14:paraId="6633FD32">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0"/>
        <w:rPr>
          <w:sz w:val="24"/>
          <w:szCs w:val="24"/>
        </w:rPr>
      </w:pPr>
      <w:r>
        <w:rPr>
          <w:rFonts w:ascii="宋体" w:hAnsi="宋体" w:eastAsia="宋体" w:cs="宋体"/>
          <w:b/>
          <w:bCs/>
          <w:spacing w:val="2"/>
          <w:sz w:val="24"/>
          <w:szCs w:val="24"/>
        </w:rPr>
        <w:t>3.</w:t>
      </w:r>
      <w:r>
        <w:rPr>
          <w:b/>
          <w:bCs/>
          <w:spacing w:val="2"/>
          <w:sz w:val="24"/>
          <w:szCs w:val="24"/>
        </w:rPr>
        <w:t>水电维护管理</w:t>
      </w:r>
    </w:p>
    <w:p w14:paraId="74B86AE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(1)给排水、供水系统：建立正常用水、</w:t>
      </w:r>
      <w:r>
        <w:rPr>
          <w:spacing w:val="6"/>
          <w:sz w:val="24"/>
          <w:szCs w:val="24"/>
        </w:rPr>
        <w:t>供水、排水管理制度并根据实际使用情况制订年度设备、设施管理、维修保养计划及总体</w:t>
      </w:r>
      <w:r>
        <w:rPr>
          <w:spacing w:val="1"/>
          <w:sz w:val="24"/>
          <w:szCs w:val="24"/>
        </w:rPr>
        <w:t>节能计划。节约用水，防止冒、滴、漏，或大面积跑水事故的发生。</w:t>
      </w:r>
      <w:r>
        <w:rPr>
          <w:spacing w:val="-1"/>
          <w:sz w:val="24"/>
          <w:szCs w:val="24"/>
        </w:rPr>
        <w:t>执行每日巡查制度，并做好记录工作，保持供水系统的正常运转，每</w:t>
      </w:r>
      <w:r>
        <w:rPr>
          <w:spacing w:val="6"/>
          <w:sz w:val="24"/>
          <w:szCs w:val="24"/>
        </w:rPr>
        <w:t>周检查水泵运转情况；其中消防泵启动不少于每年4次。保持水池、</w:t>
      </w:r>
      <w:r>
        <w:rPr>
          <w:spacing w:val="-5"/>
          <w:sz w:val="24"/>
          <w:szCs w:val="24"/>
        </w:rPr>
        <w:t>水箱的清洁卫生，防止二次污染。每周检修维护供水系统管路、水泵、</w:t>
      </w:r>
      <w:r>
        <w:rPr>
          <w:spacing w:val="-1"/>
          <w:sz w:val="24"/>
          <w:szCs w:val="24"/>
        </w:rPr>
        <w:t>水池、水箱、阀门、水表，保证其正常运转。保证排水系统的正常运</w:t>
      </w:r>
      <w:r>
        <w:rPr>
          <w:spacing w:val="-5"/>
          <w:sz w:val="24"/>
          <w:szCs w:val="24"/>
        </w:rPr>
        <w:t>转，防止阻塞。遇停水应预先通知采购人及受影响部门，并张贴预告。</w:t>
      </w:r>
    </w:p>
    <w:p w14:paraId="2E27A79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spacing w:val="1"/>
          <w:sz w:val="24"/>
          <w:szCs w:val="24"/>
        </w:rPr>
        <w:t>(2)机电、照明及自动化系统管理：对服务区域内供电系统高、低</w:t>
      </w:r>
      <w:r>
        <w:rPr>
          <w:spacing w:val="-1"/>
          <w:sz w:val="24"/>
          <w:szCs w:val="24"/>
        </w:rPr>
        <w:t>压电器设备、照明装置等设备正常运行使用进行日常管理和养护维修。建立严格的配送电运行制度和电气维修制度。</w:t>
      </w:r>
      <w:r>
        <w:rPr>
          <w:rFonts w:hint="eastAsia"/>
          <w:spacing w:val="-1"/>
          <w:sz w:val="24"/>
          <w:szCs w:val="24"/>
          <w:lang w:val="en-US" w:eastAsia="zh-CN"/>
        </w:rPr>
        <w:t>电工维修</w:t>
      </w:r>
      <w:r>
        <w:rPr>
          <w:spacing w:val="-1"/>
          <w:sz w:val="24"/>
          <w:szCs w:val="24"/>
        </w:rPr>
        <w:t>人员</w:t>
      </w:r>
      <w:r>
        <w:rPr>
          <w:rFonts w:hint="eastAsia"/>
          <w:spacing w:val="-1"/>
          <w:sz w:val="24"/>
          <w:szCs w:val="24"/>
          <w:lang w:val="en-US" w:eastAsia="zh-CN"/>
        </w:rPr>
        <w:t>须</w:t>
      </w:r>
      <w:r>
        <w:rPr>
          <w:spacing w:val="-1"/>
          <w:sz w:val="24"/>
          <w:szCs w:val="24"/>
        </w:rPr>
        <w:t>持证上岗。做到发现故障、及时排除。保证公共使用的照明、指示、显示灯完好；电气巡查、维保工作要满足用户的要求、确保配电设备安全运行。遇停电限电预先通</w:t>
      </w:r>
      <w:r>
        <w:rPr>
          <w:spacing w:val="7"/>
          <w:sz w:val="24"/>
          <w:szCs w:val="24"/>
        </w:rPr>
        <w:t>知采购人及受影响部门，并张贴预告。对临时施工工程有用电管理</w:t>
      </w:r>
      <w:r>
        <w:rPr>
          <w:spacing w:val="-1"/>
          <w:sz w:val="24"/>
          <w:szCs w:val="24"/>
        </w:rPr>
        <w:t>措施。发生特殊情况，如火灾、地震、水灾时，及时切断电源。负责对路灯、庭园灯电源的操作，保证供电正常。确保办公区域内所有公</w:t>
      </w:r>
      <w:r>
        <w:rPr>
          <w:sz w:val="24"/>
          <w:szCs w:val="24"/>
        </w:rPr>
        <w:t>共及专用照明灯管灯泡完好，发现损坏，及时调换。</w:t>
      </w:r>
    </w:p>
    <w:p w14:paraId="1F6C6A0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sz w:val="24"/>
          <w:szCs w:val="24"/>
        </w:rPr>
      </w:pPr>
      <w:r>
        <w:rPr>
          <w:rFonts w:ascii="宋体" w:hAnsi="宋体" w:eastAsia="宋体" w:cs="宋体"/>
          <w:b/>
          <w:bCs/>
          <w:sz w:val="24"/>
          <w:szCs w:val="24"/>
        </w:rPr>
        <w:t>4.</w:t>
      </w:r>
      <w:r>
        <w:rPr>
          <w:b/>
          <w:bCs/>
          <w:sz w:val="24"/>
          <w:szCs w:val="24"/>
        </w:rPr>
        <w:t>公共卫生应急要求</w:t>
      </w:r>
    </w:p>
    <w:p w14:paraId="43A399C8">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textAlignment w:val="baseline"/>
        <w:rPr>
          <w:spacing w:val="1"/>
          <w:sz w:val="24"/>
          <w:szCs w:val="24"/>
        </w:rPr>
      </w:pPr>
      <w:r>
        <w:rPr>
          <w:spacing w:val="6"/>
          <w:sz w:val="24"/>
          <w:szCs w:val="24"/>
        </w:rPr>
        <w:t>(1)严格执行《突发公共卫生事件应急条例》等文件的要求，联</w:t>
      </w:r>
      <w:r>
        <w:rPr>
          <w:sz w:val="24"/>
          <w:szCs w:val="24"/>
        </w:rPr>
        <w:t>合采购人或采购人下属分管部门成立公共卫生应急工作领导小组，制</w:t>
      </w:r>
      <w:r>
        <w:rPr>
          <w:spacing w:val="-1"/>
          <w:sz w:val="24"/>
          <w:szCs w:val="24"/>
        </w:rPr>
        <w:t>定突发公共卫生事件、防疫等相应防控措施和应急预案，在突发公共</w:t>
      </w:r>
      <w:r>
        <w:rPr>
          <w:spacing w:val="-5"/>
          <w:sz w:val="24"/>
          <w:szCs w:val="24"/>
        </w:rPr>
        <w:t>卫生事件及疫情发生时，负责做好组织、指挥、协调和服务保障工作，</w:t>
      </w:r>
      <w:r>
        <w:rPr>
          <w:spacing w:val="1"/>
          <w:sz w:val="24"/>
          <w:szCs w:val="24"/>
        </w:rPr>
        <w:t>及时向有关部门汇报相关情况。相关管控措施符合DB44/T1048规范的要求。</w:t>
      </w:r>
    </w:p>
    <w:p w14:paraId="79866CC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spacing w:val="1"/>
          <w:sz w:val="24"/>
          <w:szCs w:val="24"/>
        </w:rPr>
      </w:pPr>
      <w:r>
        <w:rPr>
          <w:spacing w:val="1"/>
          <w:sz w:val="24"/>
          <w:szCs w:val="24"/>
        </w:rPr>
        <w:t>(2)制定进入物业管理服务区域或范围内特定区域的人员管控措施方案，做好人员进出登记、管理工作。</w:t>
      </w:r>
    </w:p>
    <w:p w14:paraId="6372FA16">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spacing w:val="8"/>
          <w:sz w:val="24"/>
          <w:szCs w:val="24"/>
        </w:rPr>
        <w:t>(3)按防控措施针对性做好公共区域等场所的卫生消杀工作，环</w:t>
      </w:r>
      <w:r>
        <w:rPr>
          <w:sz w:val="24"/>
          <w:szCs w:val="24"/>
        </w:rPr>
        <w:t>境及物品以清洁为主、预防性消毒为辅。出现受污染情况时及时进行</w:t>
      </w:r>
      <w:r>
        <w:rPr>
          <w:spacing w:val="-4"/>
          <w:sz w:val="24"/>
          <w:szCs w:val="24"/>
        </w:rPr>
        <w:t>清洁消毒。</w:t>
      </w:r>
    </w:p>
    <w:p w14:paraId="417281C1">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textAlignment w:val="baseline"/>
        <w:rPr>
          <w:sz w:val="24"/>
          <w:szCs w:val="24"/>
        </w:rPr>
      </w:pPr>
      <w:r>
        <w:rPr>
          <w:spacing w:val="7"/>
          <w:sz w:val="24"/>
          <w:szCs w:val="24"/>
        </w:rPr>
        <w:t>(4)及时跟进所在地区的防疫政策，根据政策变化调配人手响应</w:t>
      </w:r>
      <w:r>
        <w:rPr>
          <w:spacing w:val="-4"/>
          <w:sz w:val="24"/>
          <w:szCs w:val="24"/>
        </w:rPr>
        <w:t>相关要求。</w:t>
      </w:r>
    </w:p>
    <w:p w14:paraId="02FFC548">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6" w:firstLineChars="200"/>
        <w:textAlignment w:val="baseline"/>
        <w:outlineLvl w:val="0"/>
        <w:rPr>
          <w:sz w:val="24"/>
          <w:szCs w:val="24"/>
        </w:rPr>
      </w:pPr>
      <w:r>
        <w:rPr>
          <w:rFonts w:ascii="宋体" w:hAnsi="宋体" w:eastAsia="宋体" w:cs="宋体"/>
          <w:b/>
          <w:bCs/>
          <w:spacing w:val="1"/>
          <w:sz w:val="24"/>
          <w:szCs w:val="24"/>
        </w:rPr>
        <w:t>5.</w:t>
      </w:r>
      <w:r>
        <w:rPr>
          <w:b/>
          <w:bCs/>
          <w:spacing w:val="1"/>
          <w:sz w:val="24"/>
          <w:szCs w:val="24"/>
        </w:rPr>
        <w:t>人员进驻、管理及其他服务要求</w:t>
      </w:r>
    </w:p>
    <w:p w14:paraId="724FAAD6">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(1)进驻管理：详细审阅、熟悉所有整个物业管理服</w:t>
      </w:r>
      <w:r>
        <w:rPr>
          <w:spacing w:val="3"/>
          <w:sz w:val="24"/>
          <w:szCs w:val="24"/>
        </w:rPr>
        <w:t>务区域的设</w:t>
      </w:r>
      <w:r>
        <w:rPr>
          <w:spacing w:val="1"/>
          <w:sz w:val="24"/>
          <w:szCs w:val="24"/>
        </w:rPr>
        <w:t>计图纸，并从物业管理及用户角度对物业管理提出专业管理意见、改</w:t>
      </w:r>
      <w:r>
        <w:rPr>
          <w:spacing w:val="3"/>
          <w:sz w:val="24"/>
          <w:szCs w:val="24"/>
        </w:rPr>
        <w:t>进方案。迅速熟悉服务区域内的机电设备系统、楼宇/场地智能化管</w:t>
      </w:r>
      <w:r>
        <w:rPr>
          <w:spacing w:val="2"/>
          <w:sz w:val="24"/>
          <w:szCs w:val="24"/>
        </w:rPr>
        <w:t>理系统、网络系统、</w:t>
      </w:r>
      <w:r>
        <w:rPr>
          <w:rFonts w:ascii="Times New Roman" w:hAnsi="Times New Roman" w:eastAsia="Times New Roman" w:cs="Times New Roman"/>
          <w:sz w:val="24"/>
          <w:szCs w:val="24"/>
        </w:rPr>
        <w:t>IT</w:t>
      </w:r>
      <w:r>
        <w:rPr>
          <w:spacing w:val="2"/>
          <w:sz w:val="24"/>
          <w:szCs w:val="24"/>
        </w:rPr>
        <w:t>基础设施的性能、</w:t>
      </w:r>
      <w:r>
        <w:rPr>
          <w:spacing w:val="1"/>
          <w:sz w:val="24"/>
          <w:szCs w:val="24"/>
        </w:rPr>
        <w:t>规格、造型、布置提出专</w:t>
      </w:r>
      <w:r>
        <w:rPr>
          <w:spacing w:val="7"/>
          <w:sz w:val="24"/>
          <w:szCs w:val="24"/>
        </w:rPr>
        <w:t>业管理意见和建议。对采购人提供的图纸、资料、档案等提出专业</w:t>
      </w:r>
      <w:r>
        <w:rPr>
          <w:spacing w:val="11"/>
          <w:sz w:val="24"/>
          <w:szCs w:val="24"/>
        </w:rPr>
        <w:t>意见和建议。提供24小时热线，响应采购人反应的紧急要求。</w:t>
      </w:r>
    </w:p>
    <w:p w14:paraId="22EE8705">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(2)档案管理：建立管理人员人事档案和各类行政文件、合同的</w:t>
      </w:r>
      <w:r>
        <w:rPr>
          <w:spacing w:val="2"/>
          <w:sz w:val="24"/>
          <w:szCs w:val="24"/>
        </w:rPr>
        <w:t>存档工作。相关工作内容符合</w:t>
      </w:r>
      <w:r>
        <w:rPr>
          <w:rFonts w:ascii="Arial" w:hAnsi="Arial" w:eastAsia="Arial" w:cs="Arial"/>
          <w:sz w:val="24"/>
          <w:szCs w:val="24"/>
        </w:rPr>
        <w:t>DB</w:t>
      </w:r>
      <w:r>
        <w:rPr>
          <w:rFonts w:ascii="Arial" w:hAnsi="Arial" w:eastAsia="Arial" w:cs="Arial"/>
          <w:spacing w:val="2"/>
          <w:sz w:val="24"/>
          <w:szCs w:val="24"/>
        </w:rPr>
        <w:t>44/T13</w:t>
      </w:r>
      <w:r>
        <w:rPr>
          <w:rFonts w:ascii="Arial" w:hAnsi="Arial" w:eastAsia="Arial" w:cs="Arial"/>
          <w:spacing w:val="1"/>
          <w:sz w:val="24"/>
          <w:szCs w:val="24"/>
        </w:rPr>
        <w:t>15</w:t>
      </w:r>
      <w:r>
        <w:rPr>
          <w:spacing w:val="1"/>
          <w:sz w:val="24"/>
          <w:szCs w:val="24"/>
        </w:rPr>
        <w:t>规范的要求。健全所有</w:t>
      </w:r>
      <w:r>
        <w:rPr>
          <w:spacing w:val="-4"/>
          <w:sz w:val="24"/>
          <w:szCs w:val="24"/>
        </w:rPr>
        <w:t>建筑物、公用设施、设备的图纸资料，及时增加修改资料。建立设备、</w:t>
      </w:r>
      <w:r>
        <w:rPr>
          <w:spacing w:val="4"/>
          <w:sz w:val="24"/>
          <w:szCs w:val="24"/>
        </w:rPr>
        <w:t>设施、保安、保洁等日常运作管理档案。所有资料及管</w:t>
      </w:r>
      <w:r>
        <w:rPr>
          <w:spacing w:val="3"/>
          <w:sz w:val="24"/>
          <w:szCs w:val="24"/>
        </w:rPr>
        <w:t>理资</w:t>
      </w:r>
      <w:r>
        <w:rPr>
          <w:sz w:val="24"/>
          <w:szCs w:val="24"/>
        </w:rPr>
        <w:t>料分为图、档、卡、册四类，安放于防火、防潮、防蛀之专用档案箱</w:t>
      </w:r>
      <w:r>
        <w:rPr>
          <w:spacing w:val="4"/>
          <w:sz w:val="24"/>
          <w:szCs w:val="24"/>
        </w:rPr>
        <w:t>/盒/柜内。做好档案资料的保密工作，确保相关信息不</w:t>
      </w:r>
      <w:r>
        <w:rPr>
          <w:spacing w:val="3"/>
          <w:sz w:val="24"/>
          <w:szCs w:val="24"/>
        </w:rPr>
        <w:t>外泄</w:t>
      </w:r>
    </w:p>
    <w:p w14:paraId="017A6C7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6" w:firstLineChars="200"/>
        <w:textAlignment w:val="baseline"/>
        <w:outlineLvl w:val="0"/>
        <w:rPr>
          <w:sz w:val="24"/>
          <w:szCs w:val="24"/>
        </w:rPr>
      </w:pPr>
      <w:r>
        <w:rPr>
          <w:rFonts w:ascii="宋体" w:hAnsi="宋体" w:eastAsia="宋体" w:cs="宋体"/>
          <w:b/>
          <w:bCs/>
          <w:spacing w:val="1"/>
          <w:sz w:val="24"/>
          <w:szCs w:val="24"/>
        </w:rPr>
        <w:t>6.</w:t>
      </w:r>
      <w:r>
        <w:rPr>
          <w:b/>
          <w:bCs/>
          <w:spacing w:val="1"/>
          <w:sz w:val="24"/>
          <w:szCs w:val="24"/>
        </w:rPr>
        <w:t>人员需求清单</w:t>
      </w:r>
    </w:p>
    <w:p w14:paraId="0A424A8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sz w:val="24"/>
          <w:szCs w:val="24"/>
        </w:rPr>
      </w:pPr>
      <w:r>
        <w:rPr>
          <w:spacing w:val="10"/>
          <w:sz w:val="24"/>
          <w:szCs w:val="24"/>
        </w:rPr>
        <w:t>(1)在合同期内，保洁、绿化、水电维修人员年龄应</w:t>
      </w:r>
      <w:r>
        <w:rPr>
          <w:spacing w:val="9"/>
          <w:sz w:val="24"/>
          <w:szCs w:val="24"/>
        </w:rPr>
        <w:t>在60周岁</w:t>
      </w:r>
      <w:r>
        <w:rPr>
          <w:spacing w:val="-3"/>
          <w:sz w:val="24"/>
          <w:szCs w:val="24"/>
        </w:rPr>
        <w:t>以下，如合同期内，国家延迟退休，人员年龄</w:t>
      </w:r>
      <w:r>
        <w:rPr>
          <w:spacing w:val="-4"/>
          <w:sz w:val="24"/>
          <w:szCs w:val="24"/>
        </w:rPr>
        <w:t>要求可做相应调整。(提</w:t>
      </w:r>
      <w:r>
        <w:rPr>
          <w:spacing w:val="-7"/>
          <w:sz w:val="24"/>
          <w:szCs w:val="24"/>
        </w:rPr>
        <w:t>供承诺函，格式自定)</w:t>
      </w:r>
    </w:p>
    <w:p w14:paraId="5E5B648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sz w:val="22"/>
          <w:szCs w:val="22"/>
        </w:rPr>
      </w:pPr>
      <w:r>
        <w:rPr>
          <w:spacing w:val="9"/>
          <w:sz w:val="24"/>
          <w:szCs w:val="24"/>
        </w:rPr>
        <w:t>(2)人员数量，针对项目实际需要共需配置19名服务人员，具体如下。</w:t>
      </w:r>
    </w:p>
    <w:p w14:paraId="56A97CBD">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rPr>
          <w:spacing w:val="1"/>
          <w:sz w:val="24"/>
          <w:szCs w:val="24"/>
        </w:rPr>
      </w:pPr>
    </w:p>
    <w:tbl>
      <w:tblPr>
        <w:tblStyle w:val="21"/>
        <w:tblW w:w="8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2"/>
        <w:gridCol w:w="1388"/>
        <w:gridCol w:w="5069"/>
      </w:tblGrid>
      <w:tr w14:paraId="33C5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682" w:type="dxa"/>
            <w:vAlign w:val="center"/>
          </w:tcPr>
          <w:p w14:paraId="17D8B387">
            <w:pPr>
              <w:pStyle w:val="20"/>
              <w:keepNext w:val="0"/>
              <w:keepLines w:val="0"/>
              <w:pageBreakBefore w:val="0"/>
              <w:widowControl w:val="0"/>
              <w:kinsoku w:val="0"/>
              <w:wordWrap/>
              <w:overflowPunct/>
              <w:topLinePunct w:val="0"/>
              <w:autoSpaceDE w:val="0"/>
              <w:autoSpaceDN w:val="0"/>
              <w:bidi w:val="0"/>
              <w:adjustRightInd w:val="0"/>
              <w:snapToGrid w:val="0"/>
              <w:spacing w:before="104" w:line="220" w:lineRule="auto"/>
              <w:jc w:val="center"/>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岗位</w:t>
            </w:r>
          </w:p>
        </w:tc>
        <w:tc>
          <w:tcPr>
            <w:tcW w:w="1388" w:type="dxa"/>
            <w:vAlign w:val="center"/>
          </w:tcPr>
          <w:p w14:paraId="380302C9">
            <w:pPr>
              <w:pStyle w:val="20"/>
              <w:keepNext w:val="0"/>
              <w:keepLines w:val="0"/>
              <w:pageBreakBefore w:val="0"/>
              <w:widowControl w:val="0"/>
              <w:kinsoku w:val="0"/>
              <w:wordWrap/>
              <w:overflowPunct/>
              <w:topLinePunct w:val="0"/>
              <w:autoSpaceDE w:val="0"/>
              <w:autoSpaceDN w:val="0"/>
              <w:bidi w:val="0"/>
              <w:adjustRightInd w:val="0"/>
              <w:snapToGrid w:val="0"/>
              <w:spacing w:before="104" w:line="221" w:lineRule="auto"/>
              <w:ind w:left="52"/>
              <w:jc w:val="center"/>
              <w:textAlignment w:val="baseline"/>
              <w:rPr>
                <w:rFonts w:hint="eastAsia" w:ascii="仿宋" w:hAnsi="仿宋" w:eastAsia="仿宋" w:cs="仿宋"/>
                <w:b/>
                <w:bCs/>
                <w:spacing w:val="6"/>
                <w:sz w:val="24"/>
                <w:szCs w:val="24"/>
              </w:rPr>
            </w:pPr>
            <w:r>
              <w:rPr>
                <w:rFonts w:hint="eastAsia" w:ascii="仿宋" w:hAnsi="仿宋" w:eastAsia="仿宋" w:cs="仿宋"/>
                <w:b/>
                <w:bCs/>
                <w:spacing w:val="6"/>
                <w:sz w:val="24"/>
                <w:szCs w:val="24"/>
              </w:rPr>
              <w:t>人员配置</w:t>
            </w:r>
          </w:p>
          <w:p w14:paraId="471ED03B">
            <w:pPr>
              <w:pStyle w:val="20"/>
              <w:keepNext w:val="0"/>
              <w:keepLines w:val="0"/>
              <w:pageBreakBefore w:val="0"/>
              <w:widowControl w:val="0"/>
              <w:kinsoku w:val="0"/>
              <w:wordWrap/>
              <w:overflowPunct/>
              <w:topLinePunct w:val="0"/>
              <w:autoSpaceDE w:val="0"/>
              <w:autoSpaceDN w:val="0"/>
              <w:bidi w:val="0"/>
              <w:adjustRightInd w:val="0"/>
              <w:snapToGrid w:val="0"/>
              <w:spacing w:before="104" w:line="221" w:lineRule="auto"/>
              <w:ind w:left="52"/>
              <w:jc w:val="center"/>
              <w:textAlignment w:val="baseline"/>
              <w:rPr>
                <w:rFonts w:hint="eastAsia" w:ascii="仿宋" w:hAnsi="仿宋" w:eastAsia="仿宋" w:cs="仿宋"/>
                <w:b/>
                <w:bCs/>
                <w:sz w:val="24"/>
                <w:szCs w:val="24"/>
              </w:rPr>
            </w:pPr>
            <w:r>
              <w:rPr>
                <w:rFonts w:hint="eastAsia" w:ascii="仿宋" w:hAnsi="仿宋" w:eastAsia="仿宋" w:cs="仿宋"/>
                <w:b/>
                <w:bCs/>
                <w:spacing w:val="6"/>
                <w:sz w:val="24"/>
                <w:szCs w:val="24"/>
              </w:rPr>
              <w:t>(人)</w:t>
            </w:r>
          </w:p>
        </w:tc>
        <w:tc>
          <w:tcPr>
            <w:tcW w:w="5069" w:type="dxa"/>
            <w:vAlign w:val="center"/>
          </w:tcPr>
          <w:p w14:paraId="36B8BACA">
            <w:pPr>
              <w:pStyle w:val="20"/>
              <w:keepNext w:val="0"/>
              <w:keepLines w:val="0"/>
              <w:pageBreakBefore w:val="0"/>
              <w:widowControl w:val="0"/>
              <w:kinsoku w:val="0"/>
              <w:wordWrap/>
              <w:overflowPunct/>
              <w:topLinePunct w:val="0"/>
              <w:autoSpaceDE w:val="0"/>
              <w:autoSpaceDN w:val="0"/>
              <w:bidi w:val="0"/>
              <w:adjustRightInd w:val="0"/>
              <w:snapToGrid w:val="0"/>
              <w:spacing w:before="103" w:line="219" w:lineRule="auto"/>
              <w:jc w:val="center"/>
              <w:textAlignment w:val="baseline"/>
              <w:rPr>
                <w:rFonts w:hint="eastAsia" w:ascii="仿宋" w:hAnsi="仿宋" w:eastAsia="仿宋" w:cs="仿宋"/>
                <w:b/>
                <w:bCs/>
                <w:sz w:val="24"/>
                <w:szCs w:val="24"/>
              </w:rPr>
            </w:pPr>
            <w:r>
              <w:rPr>
                <w:rFonts w:hint="eastAsia" w:ascii="仿宋" w:hAnsi="仿宋" w:eastAsia="仿宋" w:cs="仿宋"/>
                <w:b/>
                <w:bCs/>
                <w:spacing w:val="5"/>
                <w:sz w:val="24"/>
                <w:szCs w:val="24"/>
              </w:rPr>
              <w:t>配置说明</w:t>
            </w:r>
          </w:p>
        </w:tc>
      </w:tr>
      <w:tr w14:paraId="34C5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82" w:type="dxa"/>
            <w:vAlign w:val="top"/>
          </w:tcPr>
          <w:p w14:paraId="15FB8AD3">
            <w:pPr>
              <w:pStyle w:val="20"/>
              <w:keepNext w:val="0"/>
              <w:keepLines w:val="0"/>
              <w:pageBreakBefore w:val="0"/>
              <w:widowControl w:val="0"/>
              <w:kinsoku w:val="0"/>
              <w:wordWrap/>
              <w:overflowPunct/>
              <w:topLinePunct w:val="0"/>
              <w:autoSpaceDE w:val="0"/>
              <w:autoSpaceDN w:val="0"/>
              <w:bidi w:val="0"/>
              <w:adjustRightInd w:val="0"/>
              <w:snapToGrid w:val="0"/>
              <w:spacing w:before="99" w:line="219" w:lineRule="auto"/>
              <w:ind w:left="414"/>
              <w:textAlignment w:val="baseline"/>
              <w:rPr>
                <w:rFonts w:hint="eastAsia" w:ascii="仿宋" w:hAnsi="仿宋" w:eastAsia="仿宋" w:cs="仿宋"/>
                <w:sz w:val="24"/>
                <w:szCs w:val="24"/>
              </w:rPr>
            </w:pPr>
            <w:r>
              <w:rPr>
                <w:rFonts w:hint="eastAsia" w:ascii="仿宋" w:hAnsi="仿宋" w:eastAsia="仿宋" w:cs="仿宋"/>
                <w:spacing w:val="2"/>
                <w:sz w:val="24"/>
                <w:szCs w:val="24"/>
              </w:rPr>
              <w:t>项目主管</w:t>
            </w:r>
          </w:p>
        </w:tc>
        <w:tc>
          <w:tcPr>
            <w:tcW w:w="1388" w:type="dxa"/>
            <w:vAlign w:val="top"/>
          </w:tcPr>
          <w:p w14:paraId="3309F21F">
            <w:pPr>
              <w:pStyle w:val="20"/>
              <w:keepNext w:val="0"/>
              <w:keepLines w:val="0"/>
              <w:pageBreakBefore w:val="0"/>
              <w:widowControl w:val="0"/>
              <w:kinsoku w:val="0"/>
              <w:wordWrap/>
              <w:overflowPunct/>
              <w:topLinePunct w:val="0"/>
              <w:autoSpaceDE w:val="0"/>
              <w:autoSpaceDN w:val="0"/>
              <w:bidi w:val="0"/>
              <w:adjustRightInd w:val="0"/>
              <w:snapToGrid w:val="0"/>
              <w:spacing w:before="152" w:line="184" w:lineRule="auto"/>
              <w:ind w:left="632"/>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5069" w:type="dxa"/>
            <w:vAlign w:val="top"/>
          </w:tcPr>
          <w:p w14:paraId="32D6E65F">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7AD7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682" w:type="dxa"/>
            <w:vAlign w:val="top"/>
          </w:tcPr>
          <w:p w14:paraId="633F4F5A">
            <w:pPr>
              <w:pStyle w:val="20"/>
              <w:keepNext w:val="0"/>
              <w:keepLines w:val="0"/>
              <w:pageBreakBefore w:val="0"/>
              <w:widowControl w:val="0"/>
              <w:kinsoku w:val="0"/>
              <w:wordWrap/>
              <w:overflowPunct/>
              <w:topLinePunct w:val="0"/>
              <w:autoSpaceDE w:val="0"/>
              <w:autoSpaceDN w:val="0"/>
              <w:bidi w:val="0"/>
              <w:adjustRightInd w:val="0"/>
              <w:snapToGrid w:val="0"/>
              <w:spacing w:before="101" w:line="221" w:lineRule="auto"/>
              <w:ind w:left="624"/>
              <w:textAlignment w:val="baseline"/>
              <w:rPr>
                <w:rFonts w:hint="eastAsia" w:ascii="仿宋" w:hAnsi="仿宋" w:eastAsia="仿宋" w:cs="仿宋"/>
                <w:sz w:val="24"/>
                <w:szCs w:val="24"/>
              </w:rPr>
            </w:pPr>
            <w:r>
              <w:rPr>
                <w:rFonts w:hint="eastAsia" w:ascii="仿宋" w:hAnsi="仿宋" w:eastAsia="仿宋" w:cs="仿宋"/>
                <w:spacing w:val="14"/>
                <w:sz w:val="24"/>
                <w:szCs w:val="24"/>
              </w:rPr>
              <w:t>文员</w:t>
            </w:r>
          </w:p>
        </w:tc>
        <w:tc>
          <w:tcPr>
            <w:tcW w:w="1388" w:type="dxa"/>
            <w:vAlign w:val="top"/>
          </w:tcPr>
          <w:p w14:paraId="5B1A48D2">
            <w:pPr>
              <w:pStyle w:val="20"/>
              <w:keepNext w:val="0"/>
              <w:keepLines w:val="0"/>
              <w:pageBreakBefore w:val="0"/>
              <w:widowControl w:val="0"/>
              <w:kinsoku w:val="0"/>
              <w:wordWrap/>
              <w:overflowPunct/>
              <w:topLinePunct w:val="0"/>
              <w:autoSpaceDE w:val="0"/>
              <w:autoSpaceDN w:val="0"/>
              <w:bidi w:val="0"/>
              <w:adjustRightInd w:val="0"/>
              <w:snapToGrid w:val="0"/>
              <w:spacing w:before="153" w:line="184" w:lineRule="auto"/>
              <w:ind w:left="632"/>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5069" w:type="dxa"/>
            <w:vAlign w:val="top"/>
          </w:tcPr>
          <w:p w14:paraId="72725D1C">
            <w:pPr>
              <w:pStyle w:val="20"/>
              <w:keepNext w:val="0"/>
              <w:keepLines w:val="0"/>
              <w:pageBreakBefore w:val="0"/>
              <w:widowControl w:val="0"/>
              <w:kinsoku w:val="0"/>
              <w:wordWrap/>
              <w:overflowPunct/>
              <w:topLinePunct w:val="0"/>
              <w:autoSpaceDE w:val="0"/>
              <w:autoSpaceDN w:val="0"/>
              <w:bidi w:val="0"/>
              <w:adjustRightInd w:val="0"/>
              <w:snapToGrid w:val="0"/>
              <w:spacing w:before="100" w:line="219" w:lineRule="auto"/>
              <w:ind w:left="394"/>
              <w:textAlignment w:val="baseline"/>
              <w:rPr>
                <w:rFonts w:hint="eastAsia" w:ascii="仿宋" w:hAnsi="仿宋" w:eastAsia="仿宋" w:cs="仿宋"/>
                <w:sz w:val="24"/>
                <w:szCs w:val="24"/>
              </w:rPr>
            </w:pPr>
            <w:r>
              <w:rPr>
                <w:rFonts w:hint="eastAsia" w:ascii="仿宋" w:hAnsi="仿宋" w:eastAsia="仿宋" w:cs="仿宋"/>
                <w:sz w:val="24"/>
                <w:szCs w:val="24"/>
              </w:rPr>
              <w:t>物业规范化管理与员工日常资料等工作</w:t>
            </w:r>
          </w:p>
        </w:tc>
      </w:tr>
      <w:tr w14:paraId="2804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1682" w:type="dxa"/>
            <w:vAlign w:val="top"/>
          </w:tcPr>
          <w:p w14:paraId="0872D14D">
            <w:pPr>
              <w:keepNext w:val="0"/>
              <w:keepLines w:val="0"/>
              <w:pageBreakBefore w:val="0"/>
              <w:widowControl w:val="0"/>
              <w:kinsoku w:val="0"/>
              <w:wordWrap/>
              <w:overflowPunct/>
              <w:topLinePunct w:val="0"/>
              <w:autoSpaceDE w:val="0"/>
              <w:autoSpaceDN w:val="0"/>
              <w:bidi w:val="0"/>
              <w:adjustRightInd w:val="0"/>
              <w:snapToGrid w:val="0"/>
              <w:spacing w:line="342" w:lineRule="auto"/>
              <w:textAlignment w:val="baseline"/>
              <w:rPr>
                <w:rFonts w:hint="eastAsia" w:ascii="仿宋" w:hAnsi="仿宋" w:eastAsia="仿宋" w:cs="仿宋"/>
                <w:sz w:val="24"/>
                <w:szCs w:val="24"/>
              </w:rPr>
            </w:pPr>
          </w:p>
          <w:p w14:paraId="02A2EB1F">
            <w:pPr>
              <w:pStyle w:val="20"/>
              <w:keepNext w:val="0"/>
              <w:keepLines w:val="0"/>
              <w:pageBreakBefore w:val="0"/>
              <w:widowControl w:val="0"/>
              <w:kinsoku w:val="0"/>
              <w:wordWrap/>
              <w:overflowPunct/>
              <w:topLinePunct w:val="0"/>
              <w:autoSpaceDE w:val="0"/>
              <w:autoSpaceDN w:val="0"/>
              <w:bidi w:val="0"/>
              <w:adjustRightInd w:val="0"/>
              <w:snapToGrid w:val="0"/>
              <w:spacing w:before="69" w:line="220" w:lineRule="auto"/>
              <w:ind w:left="514"/>
              <w:textAlignment w:val="baseline"/>
              <w:rPr>
                <w:rFonts w:hint="eastAsia" w:ascii="仿宋" w:hAnsi="仿宋" w:eastAsia="仿宋" w:cs="仿宋"/>
                <w:sz w:val="24"/>
                <w:szCs w:val="24"/>
              </w:rPr>
            </w:pPr>
            <w:r>
              <w:rPr>
                <w:rFonts w:hint="eastAsia" w:ascii="仿宋" w:hAnsi="仿宋" w:eastAsia="仿宋" w:cs="仿宋"/>
                <w:spacing w:val="9"/>
                <w:sz w:val="24"/>
                <w:szCs w:val="24"/>
              </w:rPr>
              <w:t>保洁员</w:t>
            </w:r>
          </w:p>
        </w:tc>
        <w:tc>
          <w:tcPr>
            <w:tcW w:w="1388" w:type="dxa"/>
            <w:vAlign w:val="top"/>
          </w:tcPr>
          <w:p w14:paraId="0D87B1C6">
            <w:pPr>
              <w:keepNext w:val="0"/>
              <w:keepLines w:val="0"/>
              <w:pageBreakBefore w:val="0"/>
              <w:widowControl w:val="0"/>
              <w:kinsoku w:val="0"/>
              <w:wordWrap/>
              <w:overflowPunct/>
              <w:topLinePunct w:val="0"/>
              <w:autoSpaceDE w:val="0"/>
              <w:autoSpaceDN w:val="0"/>
              <w:bidi w:val="0"/>
              <w:adjustRightInd w:val="0"/>
              <w:snapToGrid w:val="0"/>
              <w:spacing w:line="394" w:lineRule="auto"/>
              <w:textAlignment w:val="baseline"/>
              <w:rPr>
                <w:rFonts w:hint="eastAsia" w:ascii="仿宋" w:hAnsi="仿宋" w:eastAsia="仿宋" w:cs="仿宋"/>
                <w:sz w:val="24"/>
                <w:szCs w:val="24"/>
              </w:rPr>
            </w:pPr>
          </w:p>
          <w:p w14:paraId="6B0CD3AF">
            <w:pPr>
              <w:pStyle w:val="20"/>
              <w:keepNext w:val="0"/>
              <w:keepLines w:val="0"/>
              <w:pageBreakBefore w:val="0"/>
              <w:widowControl w:val="0"/>
              <w:kinsoku w:val="0"/>
              <w:wordWrap/>
              <w:overflowPunct/>
              <w:topLinePunct w:val="0"/>
              <w:autoSpaceDE w:val="0"/>
              <w:autoSpaceDN w:val="0"/>
              <w:bidi w:val="0"/>
              <w:adjustRightInd w:val="0"/>
              <w:snapToGrid w:val="0"/>
              <w:spacing w:before="69" w:line="184" w:lineRule="auto"/>
              <w:ind w:left="582"/>
              <w:textAlignment w:val="baseline"/>
              <w:rPr>
                <w:rFonts w:hint="eastAsia" w:ascii="仿宋" w:hAnsi="仿宋" w:eastAsia="仿宋" w:cs="仿宋"/>
                <w:sz w:val="24"/>
                <w:szCs w:val="24"/>
              </w:rPr>
            </w:pPr>
            <w:r>
              <w:rPr>
                <w:rFonts w:hint="eastAsia" w:ascii="仿宋" w:hAnsi="仿宋" w:eastAsia="仿宋" w:cs="仿宋"/>
                <w:spacing w:val="-6"/>
                <w:sz w:val="24"/>
                <w:szCs w:val="24"/>
              </w:rPr>
              <w:t>14</w:t>
            </w:r>
          </w:p>
        </w:tc>
        <w:tc>
          <w:tcPr>
            <w:tcW w:w="5069" w:type="dxa"/>
            <w:vAlign w:val="top"/>
          </w:tcPr>
          <w:p w14:paraId="740B69B0">
            <w:pPr>
              <w:pStyle w:val="20"/>
              <w:keepNext w:val="0"/>
              <w:keepLines w:val="0"/>
              <w:pageBreakBefore w:val="0"/>
              <w:widowControl w:val="0"/>
              <w:kinsoku w:val="0"/>
              <w:wordWrap/>
              <w:overflowPunct/>
              <w:topLinePunct w:val="0"/>
              <w:autoSpaceDE w:val="0"/>
              <w:autoSpaceDN w:val="0"/>
              <w:bidi w:val="0"/>
              <w:adjustRightInd w:val="0"/>
              <w:snapToGrid w:val="0"/>
              <w:spacing w:before="102" w:line="219" w:lineRule="auto"/>
              <w:ind w:left="124"/>
              <w:textAlignment w:val="baseline"/>
              <w:rPr>
                <w:rFonts w:hint="eastAsia" w:ascii="仿宋" w:hAnsi="仿宋" w:eastAsia="仿宋" w:cs="仿宋"/>
                <w:sz w:val="24"/>
                <w:szCs w:val="24"/>
              </w:rPr>
            </w:pPr>
            <w:r>
              <w:rPr>
                <w:rFonts w:hint="eastAsia" w:ascii="仿宋" w:hAnsi="仿宋" w:eastAsia="仿宋" w:cs="仿宋"/>
                <w:spacing w:val="1"/>
                <w:sz w:val="24"/>
                <w:szCs w:val="24"/>
              </w:rPr>
              <w:t>教学区(含新实训楼、食堂)4人、体育馆及周</w:t>
            </w:r>
          </w:p>
          <w:p w14:paraId="71BD9540">
            <w:pPr>
              <w:pStyle w:val="20"/>
              <w:keepNext w:val="0"/>
              <w:keepLines w:val="0"/>
              <w:pageBreakBefore w:val="0"/>
              <w:widowControl w:val="0"/>
              <w:kinsoku w:val="0"/>
              <w:wordWrap/>
              <w:overflowPunct/>
              <w:topLinePunct w:val="0"/>
              <w:autoSpaceDE w:val="0"/>
              <w:autoSpaceDN w:val="0"/>
              <w:bidi w:val="0"/>
              <w:adjustRightInd w:val="0"/>
              <w:snapToGrid w:val="0"/>
              <w:spacing w:before="100" w:line="219" w:lineRule="auto"/>
              <w:ind w:left="124"/>
              <w:textAlignment w:val="baseline"/>
              <w:rPr>
                <w:rFonts w:hint="eastAsia" w:ascii="仿宋" w:hAnsi="仿宋" w:eastAsia="仿宋" w:cs="仿宋"/>
                <w:sz w:val="24"/>
                <w:szCs w:val="24"/>
              </w:rPr>
            </w:pPr>
            <w:r>
              <w:rPr>
                <w:rFonts w:hint="eastAsia" w:ascii="仿宋" w:hAnsi="仿宋" w:eastAsia="仿宋" w:cs="仿宋"/>
                <w:spacing w:val="5"/>
                <w:sz w:val="24"/>
                <w:szCs w:val="24"/>
              </w:rPr>
              <w:t>边1人、宿舍一、二、三</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地下车库</w:t>
            </w:r>
            <w:r>
              <w:rPr>
                <w:rFonts w:hint="eastAsia" w:ascii="仿宋" w:hAnsi="仿宋" w:eastAsia="仿宋" w:cs="仿宋"/>
                <w:spacing w:val="5"/>
                <w:sz w:val="24"/>
                <w:szCs w:val="24"/>
              </w:rPr>
              <w:t>共4人、宿舍四2人、</w:t>
            </w:r>
            <w:r>
              <w:rPr>
                <w:rFonts w:hint="eastAsia" w:ascii="仿宋" w:hAnsi="仿宋" w:eastAsia="仿宋" w:cs="仿宋"/>
                <w:spacing w:val="-1"/>
                <w:sz w:val="24"/>
                <w:szCs w:val="24"/>
              </w:rPr>
              <w:t>南门至北门公共区域(含实训车间周边)3人</w:t>
            </w:r>
          </w:p>
        </w:tc>
      </w:tr>
      <w:tr w14:paraId="4858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682" w:type="dxa"/>
            <w:vAlign w:val="top"/>
          </w:tcPr>
          <w:p w14:paraId="3768B62C">
            <w:pPr>
              <w:pStyle w:val="20"/>
              <w:keepNext w:val="0"/>
              <w:keepLines w:val="0"/>
              <w:pageBreakBefore w:val="0"/>
              <w:widowControl w:val="0"/>
              <w:kinsoku w:val="0"/>
              <w:wordWrap/>
              <w:overflowPunct/>
              <w:topLinePunct w:val="0"/>
              <w:autoSpaceDE w:val="0"/>
              <w:autoSpaceDN w:val="0"/>
              <w:bidi w:val="0"/>
              <w:adjustRightInd w:val="0"/>
              <w:snapToGrid w:val="0"/>
              <w:spacing w:before="106" w:line="221" w:lineRule="auto"/>
              <w:ind w:left="514"/>
              <w:textAlignment w:val="baseline"/>
              <w:rPr>
                <w:rFonts w:hint="eastAsia" w:ascii="仿宋" w:hAnsi="仿宋" w:eastAsia="仿宋" w:cs="仿宋"/>
                <w:sz w:val="24"/>
                <w:szCs w:val="24"/>
              </w:rPr>
            </w:pPr>
            <w:r>
              <w:rPr>
                <w:rFonts w:hint="eastAsia" w:ascii="仿宋" w:hAnsi="仿宋" w:eastAsia="仿宋" w:cs="仿宋"/>
                <w:spacing w:val="3"/>
                <w:sz w:val="24"/>
                <w:szCs w:val="24"/>
              </w:rPr>
              <w:t>绿化工</w:t>
            </w:r>
          </w:p>
        </w:tc>
        <w:tc>
          <w:tcPr>
            <w:tcW w:w="1388" w:type="dxa"/>
            <w:vAlign w:val="top"/>
          </w:tcPr>
          <w:p w14:paraId="355EC5DD">
            <w:pPr>
              <w:pStyle w:val="20"/>
              <w:keepNext w:val="0"/>
              <w:keepLines w:val="0"/>
              <w:pageBreakBefore w:val="0"/>
              <w:widowControl w:val="0"/>
              <w:kinsoku w:val="0"/>
              <w:wordWrap/>
              <w:overflowPunct/>
              <w:topLinePunct w:val="0"/>
              <w:autoSpaceDE w:val="0"/>
              <w:autoSpaceDN w:val="0"/>
              <w:bidi w:val="0"/>
              <w:adjustRightInd w:val="0"/>
              <w:snapToGrid w:val="0"/>
              <w:spacing w:before="158" w:line="184" w:lineRule="auto"/>
              <w:ind w:left="632"/>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5069" w:type="dxa"/>
            <w:vAlign w:val="top"/>
          </w:tcPr>
          <w:p w14:paraId="3F93B13B">
            <w:pPr>
              <w:pStyle w:val="20"/>
              <w:keepNext w:val="0"/>
              <w:keepLines w:val="0"/>
              <w:pageBreakBefore w:val="0"/>
              <w:widowControl w:val="0"/>
              <w:kinsoku w:val="0"/>
              <w:wordWrap/>
              <w:overflowPunct/>
              <w:topLinePunct w:val="0"/>
              <w:autoSpaceDE w:val="0"/>
              <w:autoSpaceDN w:val="0"/>
              <w:bidi w:val="0"/>
              <w:adjustRightInd w:val="0"/>
              <w:snapToGrid w:val="0"/>
              <w:spacing w:before="105" w:line="219" w:lineRule="auto"/>
              <w:ind w:left="1654"/>
              <w:textAlignment w:val="baseline"/>
              <w:rPr>
                <w:rFonts w:hint="eastAsia" w:ascii="仿宋" w:hAnsi="仿宋" w:eastAsia="仿宋" w:cs="仿宋"/>
                <w:sz w:val="24"/>
                <w:szCs w:val="24"/>
              </w:rPr>
            </w:pPr>
          </w:p>
        </w:tc>
      </w:tr>
      <w:tr w14:paraId="76DB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682" w:type="dxa"/>
            <w:vAlign w:val="top"/>
          </w:tcPr>
          <w:p w14:paraId="7E36543B">
            <w:pPr>
              <w:pStyle w:val="20"/>
              <w:keepNext w:val="0"/>
              <w:keepLines w:val="0"/>
              <w:pageBreakBefore w:val="0"/>
              <w:widowControl w:val="0"/>
              <w:kinsoku w:val="0"/>
              <w:wordWrap/>
              <w:overflowPunct/>
              <w:topLinePunct w:val="0"/>
              <w:autoSpaceDE w:val="0"/>
              <w:autoSpaceDN w:val="0"/>
              <w:bidi w:val="0"/>
              <w:adjustRightInd w:val="0"/>
              <w:snapToGrid w:val="0"/>
              <w:spacing w:before="106" w:line="219" w:lineRule="auto"/>
              <w:ind w:left="514"/>
              <w:textAlignment w:val="baseline"/>
              <w:rPr>
                <w:rFonts w:hint="eastAsia" w:ascii="仿宋" w:hAnsi="仿宋" w:eastAsia="仿宋" w:cs="仿宋"/>
                <w:sz w:val="24"/>
                <w:szCs w:val="24"/>
              </w:rPr>
            </w:pPr>
            <w:r>
              <w:rPr>
                <w:rFonts w:hint="eastAsia" w:ascii="仿宋" w:hAnsi="仿宋" w:eastAsia="仿宋" w:cs="仿宋"/>
                <w:spacing w:val="3"/>
                <w:sz w:val="24"/>
                <w:szCs w:val="24"/>
              </w:rPr>
              <w:t>水电工</w:t>
            </w:r>
          </w:p>
        </w:tc>
        <w:tc>
          <w:tcPr>
            <w:tcW w:w="1388" w:type="dxa"/>
            <w:vAlign w:val="top"/>
          </w:tcPr>
          <w:p w14:paraId="5605E405">
            <w:pPr>
              <w:pStyle w:val="20"/>
              <w:keepNext w:val="0"/>
              <w:keepLines w:val="0"/>
              <w:pageBreakBefore w:val="0"/>
              <w:widowControl w:val="0"/>
              <w:kinsoku w:val="0"/>
              <w:wordWrap/>
              <w:overflowPunct/>
              <w:topLinePunct w:val="0"/>
              <w:autoSpaceDE w:val="0"/>
              <w:autoSpaceDN w:val="0"/>
              <w:bidi w:val="0"/>
              <w:adjustRightInd w:val="0"/>
              <w:snapToGrid w:val="0"/>
              <w:spacing w:before="160" w:line="183" w:lineRule="auto"/>
              <w:ind w:left="632"/>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5069" w:type="dxa"/>
            <w:vAlign w:val="top"/>
          </w:tcPr>
          <w:p w14:paraId="2657F2E7">
            <w:pPr>
              <w:pStyle w:val="20"/>
              <w:keepNext w:val="0"/>
              <w:keepLines w:val="0"/>
              <w:pageBreakBefore w:val="0"/>
              <w:widowControl w:val="0"/>
              <w:kinsoku w:val="0"/>
              <w:wordWrap/>
              <w:overflowPunct/>
              <w:topLinePunct w:val="0"/>
              <w:autoSpaceDE w:val="0"/>
              <w:autoSpaceDN w:val="0"/>
              <w:bidi w:val="0"/>
              <w:adjustRightInd w:val="0"/>
              <w:snapToGrid w:val="0"/>
              <w:spacing w:before="106" w:line="219" w:lineRule="auto"/>
              <w:ind w:left="1654"/>
              <w:textAlignment w:val="baseline"/>
              <w:rPr>
                <w:rFonts w:hint="eastAsia" w:ascii="仿宋" w:hAnsi="仿宋" w:eastAsia="仿宋" w:cs="仿宋"/>
                <w:sz w:val="24"/>
                <w:szCs w:val="24"/>
              </w:rPr>
            </w:pPr>
          </w:p>
        </w:tc>
      </w:tr>
      <w:tr w14:paraId="6128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682" w:type="dxa"/>
            <w:vAlign w:val="top"/>
          </w:tcPr>
          <w:p w14:paraId="12846E53">
            <w:pPr>
              <w:pStyle w:val="20"/>
              <w:keepNext w:val="0"/>
              <w:keepLines w:val="0"/>
              <w:pageBreakBefore w:val="0"/>
              <w:widowControl w:val="0"/>
              <w:kinsoku w:val="0"/>
              <w:wordWrap/>
              <w:overflowPunct/>
              <w:topLinePunct w:val="0"/>
              <w:autoSpaceDE w:val="0"/>
              <w:autoSpaceDN w:val="0"/>
              <w:bidi w:val="0"/>
              <w:adjustRightInd w:val="0"/>
              <w:snapToGrid w:val="0"/>
              <w:spacing w:before="148" w:line="221" w:lineRule="auto"/>
              <w:ind w:left="624"/>
              <w:textAlignment w:val="baseline"/>
              <w:rPr>
                <w:rFonts w:hint="eastAsia" w:ascii="仿宋" w:hAnsi="仿宋" w:eastAsia="仿宋" w:cs="仿宋"/>
                <w:sz w:val="24"/>
                <w:szCs w:val="24"/>
              </w:rPr>
            </w:pPr>
            <w:r>
              <w:rPr>
                <w:rFonts w:hint="eastAsia" w:ascii="仿宋" w:hAnsi="仿宋" w:eastAsia="仿宋" w:cs="仿宋"/>
                <w:spacing w:val="-3"/>
                <w:sz w:val="24"/>
                <w:szCs w:val="24"/>
              </w:rPr>
              <w:t>合计</w:t>
            </w:r>
          </w:p>
        </w:tc>
        <w:tc>
          <w:tcPr>
            <w:tcW w:w="1388" w:type="dxa"/>
            <w:vAlign w:val="top"/>
          </w:tcPr>
          <w:p w14:paraId="30F9E611">
            <w:pPr>
              <w:pStyle w:val="20"/>
              <w:keepNext w:val="0"/>
              <w:keepLines w:val="0"/>
              <w:pageBreakBefore w:val="0"/>
              <w:widowControl w:val="0"/>
              <w:kinsoku w:val="0"/>
              <w:wordWrap/>
              <w:overflowPunct/>
              <w:topLinePunct w:val="0"/>
              <w:autoSpaceDE w:val="0"/>
              <w:autoSpaceDN w:val="0"/>
              <w:bidi w:val="0"/>
              <w:adjustRightInd w:val="0"/>
              <w:snapToGrid w:val="0"/>
              <w:spacing w:before="200" w:line="184" w:lineRule="auto"/>
              <w:ind w:left="582"/>
              <w:textAlignment w:val="baseline"/>
              <w:rPr>
                <w:rFonts w:hint="eastAsia" w:ascii="仿宋" w:hAnsi="仿宋" w:eastAsia="仿宋" w:cs="仿宋"/>
                <w:sz w:val="24"/>
                <w:szCs w:val="24"/>
              </w:rPr>
            </w:pPr>
            <w:r>
              <w:rPr>
                <w:rFonts w:hint="eastAsia" w:ascii="仿宋" w:hAnsi="仿宋" w:eastAsia="仿宋" w:cs="仿宋"/>
                <w:spacing w:val="-6"/>
                <w:sz w:val="24"/>
                <w:szCs w:val="24"/>
              </w:rPr>
              <w:t>19</w:t>
            </w:r>
          </w:p>
        </w:tc>
        <w:tc>
          <w:tcPr>
            <w:tcW w:w="5069" w:type="dxa"/>
            <w:vAlign w:val="top"/>
          </w:tcPr>
          <w:p w14:paraId="521908A7">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bl>
    <w:p w14:paraId="7170B6CF">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firstLineChars="0"/>
        <w:textAlignment w:val="baseline"/>
        <w:rPr>
          <w:spacing w:val="1"/>
          <w:sz w:val="24"/>
          <w:szCs w:val="24"/>
        </w:rPr>
      </w:pPr>
    </w:p>
    <w:p w14:paraId="0ADFDE4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40" w:firstLineChars="200"/>
        <w:textAlignment w:val="baseline"/>
        <w:outlineLvl w:val="0"/>
        <w:rPr>
          <w:rFonts w:hint="eastAsia" w:ascii="仿宋" w:hAnsi="仿宋" w:eastAsia="仿宋" w:cs="仿宋"/>
          <w:sz w:val="24"/>
          <w:szCs w:val="24"/>
        </w:rPr>
      </w:pPr>
      <w:r>
        <w:rPr>
          <w:rFonts w:hint="eastAsia" w:ascii="仿宋" w:hAnsi="仿宋" w:eastAsia="仿宋" w:cs="仿宋"/>
          <w:b w:val="0"/>
          <w:bCs w:val="0"/>
          <w:spacing w:val="-10"/>
          <w:sz w:val="24"/>
          <w:szCs w:val="24"/>
        </w:rPr>
        <w:t>(3)</w:t>
      </w:r>
      <w:r>
        <w:rPr>
          <w:rFonts w:hint="eastAsia" w:ascii="仿宋" w:hAnsi="仿宋" w:eastAsia="仿宋" w:cs="仿宋"/>
          <w:sz w:val="24"/>
          <w:szCs w:val="24"/>
        </w:rPr>
        <w:t>供应商录用和配备的上述工作人员须没有违法犯罪记录、没有严</w:t>
      </w:r>
      <w:r>
        <w:rPr>
          <w:rFonts w:hint="eastAsia" w:ascii="仿宋" w:hAnsi="仿宋" w:eastAsia="仿宋" w:cs="仿宋"/>
          <w:spacing w:val="-1"/>
          <w:sz w:val="24"/>
          <w:szCs w:val="24"/>
        </w:rPr>
        <w:t>重心理疾病或明显人格缺陷及无纹身。</w:t>
      </w:r>
    </w:p>
    <w:p w14:paraId="43033D4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仿宋" w:hAnsi="仿宋" w:eastAsia="仿宋" w:cs="仿宋"/>
          <w:sz w:val="24"/>
          <w:szCs w:val="24"/>
        </w:rPr>
      </w:pPr>
      <w:r>
        <w:rPr>
          <w:rFonts w:hint="eastAsia" w:ascii="仿宋" w:hAnsi="仿宋" w:eastAsia="仿宋" w:cs="仿宋"/>
          <w:b w:val="0"/>
          <w:bCs w:val="0"/>
          <w:spacing w:val="-10"/>
          <w:sz w:val="24"/>
          <w:szCs w:val="24"/>
        </w:rPr>
        <w:t>(</w:t>
      </w:r>
      <w:r>
        <w:rPr>
          <w:rFonts w:hint="eastAsia" w:cs="仿宋"/>
          <w:b w:val="0"/>
          <w:bCs w:val="0"/>
          <w:spacing w:val="-10"/>
          <w:sz w:val="24"/>
          <w:szCs w:val="24"/>
          <w:lang w:val="en-US" w:eastAsia="zh-CN"/>
        </w:rPr>
        <w:t>4</w:t>
      </w:r>
      <w:r>
        <w:rPr>
          <w:rFonts w:hint="eastAsia" w:ascii="仿宋" w:hAnsi="仿宋" w:eastAsia="仿宋" w:cs="仿宋"/>
          <w:b w:val="0"/>
          <w:bCs w:val="0"/>
          <w:spacing w:val="-10"/>
          <w:sz w:val="24"/>
          <w:szCs w:val="24"/>
        </w:rPr>
        <w:t>)</w:t>
      </w:r>
      <w:r>
        <w:rPr>
          <w:rFonts w:hint="eastAsia" w:ascii="仿宋" w:hAnsi="仿宋" w:eastAsia="仿宋" w:cs="仿宋"/>
          <w:spacing w:val="19"/>
          <w:sz w:val="24"/>
          <w:szCs w:val="24"/>
        </w:rPr>
        <w:t>供应商应依法用工，投标(响应)时须承</w:t>
      </w:r>
      <w:r>
        <w:rPr>
          <w:rFonts w:hint="eastAsia" w:ascii="仿宋" w:hAnsi="仿宋" w:eastAsia="仿宋" w:cs="仿宋"/>
          <w:spacing w:val="18"/>
          <w:sz w:val="24"/>
          <w:szCs w:val="24"/>
        </w:rPr>
        <w:t>诺按服务区域所</w:t>
      </w:r>
      <w:r>
        <w:rPr>
          <w:rFonts w:hint="eastAsia" w:ascii="仿宋" w:hAnsi="仿宋" w:eastAsia="仿宋" w:cs="仿宋"/>
          <w:spacing w:val="-1"/>
          <w:sz w:val="24"/>
          <w:szCs w:val="24"/>
        </w:rPr>
        <w:t>在地劳动用工相关标准支付服务人员的劳动报酬，工资部分不得低于梅州当地最低工资标准。并按《中华人民共和国社会保险法》等的相</w:t>
      </w:r>
      <w:r>
        <w:rPr>
          <w:rFonts w:hint="eastAsia" w:ascii="仿宋" w:hAnsi="仿宋" w:eastAsia="仿宋" w:cs="仿宋"/>
          <w:spacing w:val="3"/>
          <w:sz w:val="24"/>
          <w:szCs w:val="24"/>
        </w:rPr>
        <w:t>关规定，为服务人员购买社会保险费用。(提供承诺函，格式自定)</w:t>
      </w:r>
    </w:p>
    <w:p w14:paraId="7D72A46D">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0"/>
        <w:rPr>
          <w:rFonts w:hint="eastAsia" w:ascii="仿宋" w:hAnsi="仿宋" w:eastAsia="仿宋" w:cs="仿宋"/>
          <w:sz w:val="24"/>
          <w:szCs w:val="24"/>
        </w:rPr>
      </w:pPr>
      <w:r>
        <w:rPr>
          <w:rFonts w:hint="eastAsia" w:ascii="仿宋" w:hAnsi="仿宋" w:eastAsia="仿宋" w:cs="仿宋"/>
          <w:b/>
          <w:bCs/>
          <w:spacing w:val="-1"/>
          <w:sz w:val="24"/>
          <w:szCs w:val="24"/>
        </w:rPr>
        <w:t>6.额外专业服务</w:t>
      </w:r>
    </w:p>
    <w:p w14:paraId="5C4BFA4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专业除四害服务：根据相关等级提供对应的专业防制、管理、规划服务。除一般“四害”防治外，还提供如蚁、蚤、虱、蜱、螨等其</w:t>
      </w:r>
      <w:r>
        <w:rPr>
          <w:rFonts w:hint="eastAsia" w:ascii="仿宋" w:hAnsi="仿宋" w:eastAsia="仿宋" w:cs="仿宋"/>
          <w:spacing w:val="6"/>
          <w:sz w:val="24"/>
          <w:szCs w:val="24"/>
        </w:rPr>
        <w:t>他有害生物的预防和控制。按气候及环境变化除四害。其中4月-</w:t>
      </w:r>
      <w:r>
        <w:rPr>
          <w:rFonts w:hint="eastAsia" w:ascii="仿宋" w:hAnsi="仿宋" w:eastAsia="仿宋" w:cs="仿宋"/>
          <w:spacing w:val="5"/>
          <w:sz w:val="24"/>
          <w:szCs w:val="24"/>
        </w:rPr>
        <w:t>11</w:t>
      </w:r>
      <w:r>
        <w:rPr>
          <w:rFonts w:hint="eastAsia" w:ascii="仿宋" w:hAnsi="仿宋" w:eastAsia="仿宋" w:cs="仿宋"/>
          <w:spacing w:val="7"/>
          <w:sz w:val="24"/>
          <w:szCs w:val="24"/>
        </w:rPr>
        <w:t>月的灭四害消杀工作不少于每月2次，其余月份不少于每月1次。使</w:t>
      </w:r>
      <w:r>
        <w:rPr>
          <w:rFonts w:hint="eastAsia" w:ascii="仿宋" w:hAnsi="仿宋" w:eastAsia="仿宋" w:cs="仿宋"/>
          <w:spacing w:val="-1"/>
          <w:sz w:val="24"/>
          <w:szCs w:val="24"/>
        </w:rPr>
        <w:t>用符合国家标准的消毒、杀虫害等药剂进行环保消杀工作。投放药物应事先告知，投药位置有明显标识。每次消杀后进行检查，并记录存</w:t>
      </w:r>
      <w:r>
        <w:rPr>
          <w:rFonts w:hint="eastAsia" w:ascii="仿宋" w:hAnsi="仿宋" w:eastAsia="仿宋" w:cs="仿宋"/>
          <w:spacing w:val="-12"/>
          <w:sz w:val="24"/>
          <w:szCs w:val="24"/>
        </w:rPr>
        <w:t>档。</w:t>
      </w:r>
    </w:p>
    <w:p w14:paraId="70638E73">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hint="eastAsia" w:ascii="仿宋" w:hAnsi="仿宋" w:eastAsia="仿宋" w:cs="仿宋"/>
          <w:sz w:val="24"/>
          <w:szCs w:val="24"/>
        </w:rPr>
      </w:pPr>
      <w:r>
        <w:rPr>
          <w:rFonts w:hint="eastAsia" w:ascii="仿宋" w:hAnsi="仿宋" w:eastAsia="仿宋" w:cs="仿宋"/>
          <w:b/>
          <w:bCs/>
          <w:sz w:val="24"/>
          <w:szCs w:val="24"/>
        </w:rPr>
        <w:t>7.特殊物业场景</w:t>
      </w:r>
    </w:p>
    <w:p w14:paraId="597F2BF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sz w:val="24"/>
          <w:szCs w:val="24"/>
        </w:rPr>
      </w:pPr>
      <w:r>
        <w:rPr>
          <w:rFonts w:hint="eastAsia" w:ascii="仿宋" w:hAnsi="仿宋" w:eastAsia="仿宋" w:cs="仿宋"/>
          <w:spacing w:val="11"/>
          <w:sz w:val="24"/>
          <w:szCs w:val="24"/>
        </w:rPr>
        <w:t>(1)教学区域工作：每天1次在课余时间对教学区域进行</w:t>
      </w:r>
      <w:r>
        <w:rPr>
          <w:rFonts w:hint="eastAsia" w:ascii="仿宋" w:hAnsi="仿宋" w:eastAsia="仿宋" w:cs="仿宋"/>
          <w:spacing w:val="10"/>
          <w:sz w:val="24"/>
          <w:szCs w:val="24"/>
        </w:rPr>
        <w:t>清洁打</w:t>
      </w:r>
      <w:r>
        <w:rPr>
          <w:rFonts w:hint="eastAsia" w:ascii="仿宋" w:hAnsi="仿宋" w:eastAsia="仿宋" w:cs="仿宋"/>
          <w:spacing w:val="-1"/>
          <w:sz w:val="24"/>
          <w:szCs w:val="24"/>
        </w:rPr>
        <w:t>扫，不得干扰正常教学、实验、自习等活动。因教学、实验等原因导致保洁时间调整的，应及时记录并根据实际情况调整对应的卫生保洁时间。配合采购人对场馆、教具、多媒体设备、网络设备、</w:t>
      </w:r>
      <w:r>
        <w:rPr>
          <w:rFonts w:hint="eastAsia" w:ascii="仿宋" w:hAnsi="仿宋" w:eastAsia="仿宋" w:cs="仿宋"/>
          <w:spacing w:val="-2"/>
          <w:sz w:val="24"/>
          <w:szCs w:val="24"/>
        </w:rPr>
        <w:t>实验室仪</w:t>
      </w:r>
      <w:r>
        <w:rPr>
          <w:rFonts w:hint="eastAsia" w:ascii="仿宋" w:hAnsi="仿宋" w:eastAsia="仿宋" w:cs="仿宋"/>
          <w:spacing w:val="-5"/>
          <w:sz w:val="24"/>
          <w:szCs w:val="24"/>
        </w:rPr>
        <w:t>器等教学辅助支持工作，按采购人要求制定、执行相关管理服务方案。</w:t>
      </w:r>
    </w:p>
    <w:p w14:paraId="3C8892A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sz w:val="24"/>
          <w:szCs w:val="24"/>
        </w:rPr>
      </w:pPr>
      <w:r>
        <w:rPr>
          <w:rFonts w:hint="eastAsia" w:ascii="仿宋" w:hAnsi="仿宋" w:eastAsia="仿宋" w:cs="仿宋"/>
          <w:spacing w:val="11"/>
          <w:sz w:val="24"/>
          <w:szCs w:val="24"/>
        </w:rPr>
        <w:t>(2)大型活动支援：采购人在服务区域内举办大型活动(开学/</w:t>
      </w:r>
      <w:r>
        <w:rPr>
          <w:rFonts w:hint="eastAsia" w:ascii="仿宋" w:hAnsi="仿宋" w:eastAsia="仿宋" w:cs="仿宋"/>
          <w:spacing w:val="3"/>
          <w:sz w:val="24"/>
          <w:szCs w:val="24"/>
        </w:rPr>
        <w:t>毕业典礼、校庆、校运动会、集中考试、外单位交流活动等)增派人</w:t>
      </w:r>
      <w:r>
        <w:rPr>
          <w:rFonts w:hint="eastAsia" w:ascii="仿宋" w:hAnsi="仿宋" w:eastAsia="仿宋" w:cs="仿宋"/>
          <w:spacing w:val="-1"/>
          <w:sz w:val="24"/>
          <w:szCs w:val="24"/>
        </w:rPr>
        <w:t>员支援。为活动现场提供环境清洁服务，活动结束后根据采购人需要提供专项清洁打扫及垃圾清运服务。</w:t>
      </w:r>
    </w:p>
    <w:p w14:paraId="15EBBDAD">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cs="仿宋"/>
          <w:spacing w:val="-3"/>
          <w:sz w:val="24"/>
          <w:szCs w:val="24"/>
          <w:lang w:eastAsia="zh-CN"/>
        </w:rPr>
      </w:pPr>
      <w:r>
        <w:rPr>
          <w:rFonts w:hint="eastAsia" w:ascii="仿宋" w:hAnsi="仿宋" w:eastAsia="仿宋" w:cs="仿宋"/>
          <w:spacing w:val="2"/>
          <w:sz w:val="24"/>
          <w:szCs w:val="24"/>
        </w:rPr>
        <w:t>(</w:t>
      </w:r>
      <w:r>
        <w:rPr>
          <w:rFonts w:hint="eastAsia" w:cs="仿宋"/>
          <w:spacing w:val="2"/>
          <w:sz w:val="24"/>
          <w:szCs w:val="24"/>
          <w:lang w:val="en-US" w:eastAsia="zh-CN"/>
        </w:rPr>
        <w:t>3</w:t>
      </w:r>
      <w:r>
        <w:rPr>
          <w:rFonts w:hint="eastAsia" w:ascii="仿宋" w:hAnsi="仿宋" w:eastAsia="仿宋" w:cs="仿宋"/>
          <w:spacing w:val="2"/>
          <w:sz w:val="24"/>
          <w:szCs w:val="24"/>
        </w:rPr>
        <w:t>)文化建设：配合采购人对服务区域内的设施、场地开展文化、</w:t>
      </w:r>
      <w:r>
        <w:rPr>
          <w:rFonts w:hint="eastAsia" w:ascii="仿宋" w:hAnsi="仿宋" w:eastAsia="仿宋" w:cs="仿宋"/>
          <w:spacing w:val="-3"/>
          <w:sz w:val="24"/>
          <w:szCs w:val="24"/>
        </w:rPr>
        <w:t>艺术、专业实践等活动</w:t>
      </w:r>
      <w:r>
        <w:rPr>
          <w:rFonts w:hint="eastAsia" w:cs="仿宋"/>
          <w:spacing w:val="-3"/>
          <w:sz w:val="24"/>
          <w:szCs w:val="24"/>
          <w:lang w:eastAsia="zh-CN"/>
        </w:rPr>
        <w:t>。</w:t>
      </w:r>
    </w:p>
    <w:p w14:paraId="78502978">
      <w:pPr>
        <w:pStyle w:val="5"/>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470" w:firstLineChars="200"/>
        <w:textAlignment w:val="baseline"/>
        <w:outlineLvl w:val="0"/>
        <w:rPr>
          <w:sz w:val="24"/>
          <w:szCs w:val="24"/>
        </w:rPr>
      </w:pPr>
      <w:r>
        <w:rPr>
          <w:b/>
          <w:bCs/>
          <w:spacing w:val="-3"/>
          <w:sz w:val="24"/>
          <w:szCs w:val="24"/>
        </w:rPr>
        <w:t>二、商务要求</w:t>
      </w:r>
    </w:p>
    <w:p w14:paraId="182EBB3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(一)服务的时间/周期、服务地点：</w:t>
      </w:r>
    </w:p>
    <w:p w14:paraId="5DD04F1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cs="仿宋"/>
          <w:spacing w:val="2"/>
          <w:sz w:val="24"/>
          <w:szCs w:val="24"/>
          <w:lang w:val="en-US" w:eastAsia="zh-CN"/>
        </w:rPr>
      </w:pPr>
      <w:r>
        <w:rPr>
          <w:rFonts w:hint="eastAsia" w:cs="仿宋"/>
          <w:spacing w:val="2"/>
          <w:sz w:val="24"/>
          <w:szCs w:val="24"/>
          <w:lang w:val="en-US" w:eastAsia="zh-CN"/>
        </w:rPr>
        <w:t>服务</w:t>
      </w:r>
      <w:r>
        <w:rPr>
          <w:rFonts w:hint="eastAsia" w:ascii="仿宋" w:hAnsi="仿宋" w:eastAsia="仿宋" w:cs="仿宋"/>
          <w:spacing w:val="2"/>
          <w:sz w:val="24"/>
          <w:szCs w:val="24"/>
        </w:rPr>
        <w:t>时间：20</w:t>
      </w:r>
      <w:r>
        <w:rPr>
          <w:rFonts w:hint="eastAsia" w:ascii="仿宋" w:hAnsi="仿宋" w:eastAsia="仿宋" w:cs="仿宋"/>
          <w:spacing w:val="2"/>
          <w:sz w:val="24"/>
          <w:szCs w:val="24"/>
          <w:lang w:val="en-US" w:eastAsia="zh-CN"/>
        </w:rPr>
        <w:t>25</w:t>
      </w:r>
      <w:r>
        <w:rPr>
          <w:rFonts w:hint="eastAsia" w:ascii="仿宋" w:hAnsi="仿宋" w:eastAsia="仿宋" w:cs="仿宋"/>
          <w:spacing w:val="2"/>
          <w:sz w:val="24"/>
          <w:szCs w:val="24"/>
        </w:rPr>
        <w:t>年6月1日至2025年</w:t>
      </w:r>
      <w:r>
        <w:rPr>
          <w:rFonts w:hint="eastAsia" w:ascii="仿宋" w:hAnsi="仿宋" w:eastAsia="仿宋" w:cs="仿宋"/>
          <w:spacing w:val="2"/>
          <w:sz w:val="24"/>
          <w:szCs w:val="24"/>
          <w:lang w:val="en-US" w:eastAsia="zh-CN"/>
        </w:rPr>
        <w:t>9</w:t>
      </w:r>
      <w:r>
        <w:rPr>
          <w:rFonts w:hint="eastAsia" w:ascii="仿宋" w:hAnsi="仿宋" w:eastAsia="仿宋" w:cs="仿宋"/>
          <w:spacing w:val="2"/>
          <w:sz w:val="24"/>
          <w:szCs w:val="24"/>
        </w:rPr>
        <w:t>月31日</w:t>
      </w:r>
      <w:r>
        <w:rPr>
          <w:rFonts w:hint="eastAsia" w:cs="仿宋"/>
          <w:spacing w:val="2"/>
          <w:sz w:val="24"/>
          <w:szCs w:val="24"/>
          <w:lang w:val="en-US" w:eastAsia="zh-CN"/>
        </w:rPr>
        <w:t xml:space="preserve">    </w:t>
      </w:r>
    </w:p>
    <w:p w14:paraId="4FD29EE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default" w:ascii="仿宋" w:hAnsi="仿宋" w:eastAsia="仿宋" w:cs="仿宋"/>
          <w:spacing w:val="2"/>
          <w:sz w:val="24"/>
          <w:szCs w:val="24"/>
          <w:lang w:val="en-US" w:eastAsia="zh-CN"/>
        </w:rPr>
      </w:pPr>
      <w:r>
        <w:rPr>
          <w:rFonts w:hint="eastAsia" w:cs="仿宋"/>
          <w:spacing w:val="2"/>
          <w:sz w:val="24"/>
          <w:szCs w:val="24"/>
          <w:lang w:val="en-US" w:eastAsia="zh-CN"/>
        </w:rPr>
        <w:t>服务</w:t>
      </w:r>
      <w:r>
        <w:rPr>
          <w:rFonts w:hint="eastAsia" w:ascii="仿宋" w:hAnsi="仿宋" w:eastAsia="仿宋" w:cs="仿宋"/>
          <w:spacing w:val="2"/>
          <w:sz w:val="24"/>
          <w:szCs w:val="24"/>
        </w:rPr>
        <w:t>地点：梅州市梅江区环市北路63号</w:t>
      </w:r>
      <w:r>
        <w:rPr>
          <w:rFonts w:hint="eastAsia" w:cs="仿宋"/>
          <w:spacing w:val="2"/>
          <w:sz w:val="24"/>
          <w:szCs w:val="24"/>
          <w:lang w:val="en-US" w:eastAsia="zh-CN"/>
        </w:rPr>
        <w:t>广东省粤东技师学院梅州校区</w:t>
      </w:r>
    </w:p>
    <w:p w14:paraId="04FDB00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(二)付款条件</w:t>
      </w:r>
    </w:p>
    <w:p w14:paraId="7D09211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第一部分为预付款部分：合同签订后5天内中标(成交)供应商向</w:t>
      </w:r>
      <w:r>
        <w:rPr>
          <w:spacing w:val="8"/>
          <w:sz w:val="24"/>
          <w:szCs w:val="24"/>
        </w:rPr>
        <w:t>采购人提供有效发票后10个工作日内，采购人将按合同金额的</w:t>
      </w:r>
      <w:r>
        <w:rPr>
          <w:sz w:val="24"/>
          <w:szCs w:val="24"/>
        </w:rPr>
        <w:t>30%作为预付款，支付给中标(成交)供应商。第二部分为月结款部</w:t>
      </w:r>
      <w:r>
        <w:rPr>
          <w:spacing w:val="-1"/>
          <w:sz w:val="24"/>
          <w:szCs w:val="24"/>
        </w:rPr>
        <w:t>分：</w:t>
      </w:r>
      <w:r>
        <w:rPr>
          <w:spacing w:val="5"/>
          <w:sz w:val="24"/>
          <w:szCs w:val="24"/>
        </w:rPr>
        <w:t>余下的70%合同金额将按月结形式，在当月服务结束并收到中标</w:t>
      </w:r>
      <w:r>
        <w:rPr>
          <w:spacing w:val="4"/>
          <w:sz w:val="24"/>
          <w:szCs w:val="24"/>
        </w:rPr>
        <w:t>(成交)供应商提供的有效发票后，采购人将在10个工作日内支付给中标</w:t>
      </w:r>
      <w:r>
        <w:rPr>
          <w:sz w:val="24"/>
          <w:szCs w:val="24"/>
        </w:rPr>
        <w:t>(成交)供应商。</w:t>
      </w:r>
    </w:p>
    <w:p w14:paraId="6762BE9D">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56" w:firstLineChars="200"/>
        <w:textAlignment w:val="baseline"/>
        <w:rPr>
          <w:sz w:val="24"/>
          <w:szCs w:val="24"/>
        </w:rPr>
      </w:pPr>
      <w:r>
        <w:rPr>
          <w:spacing w:val="19"/>
          <w:sz w:val="24"/>
          <w:szCs w:val="24"/>
        </w:rPr>
        <w:t>(三)合同签订</w:t>
      </w:r>
    </w:p>
    <w:p w14:paraId="6C0539D1">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0" w:firstLineChars="200"/>
        <w:textAlignment w:val="baseline"/>
        <w:rPr>
          <w:sz w:val="24"/>
          <w:szCs w:val="24"/>
        </w:rPr>
      </w:pPr>
      <w:r>
        <w:rPr>
          <w:spacing w:val="10"/>
          <w:sz w:val="24"/>
          <w:szCs w:val="24"/>
        </w:rPr>
        <w:t>采购人根据采购文件的约定及投标(响应)文件的响应内</w:t>
      </w:r>
      <w:r>
        <w:rPr>
          <w:spacing w:val="9"/>
          <w:sz w:val="24"/>
          <w:szCs w:val="24"/>
        </w:rPr>
        <w:t>容与中</w:t>
      </w:r>
      <w:r>
        <w:rPr>
          <w:spacing w:val="13"/>
          <w:sz w:val="24"/>
          <w:szCs w:val="24"/>
        </w:rPr>
        <w:t>标(成交)供应商签订合同</w:t>
      </w:r>
      <w:r>
        <w:rPr>
          <w:spacing w:val="10"/>
          <w:sz w:val="24"/>
          <w:szCs w:val="24"/>
        </w:rPr>
        <w:t>。</w:t>
      </w:r>
    </w:p>
    <w:p w14:paraId="07329D7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8" w:firstLineChars="200"/>
        <w:textAlignment w:val="baseline"/>
        <w:rPr>
          <w:sz w:val="24"/>
          <w:szCs w:val="24"/>
        </w:rPr>
      </w:pPr>
      <w:r>
        <w:rPr>
          <w:spacing w:val="17"/>
          <w:sz w:val="24"/>
          <w:szCs w:val="24"/>
        </w:rPr>
        <w:t>(四)履约验收考核</w:t>
      </w:r>
    </w:p>
    <w:p w14:paraId="0AF27FBF">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textAlignment w:val="baseline"/>
        <w:rPr>
          <w:sz w:val="24"/>
          <w:szCs w:val="24"/>
        </w:rPr>
      </w:pPr>
      <w:r>
        <w:rPr>
          <w:spacing w:val="12"/>
          <w:sz w:val="24"/>
          <w:szCs w:val="24"/>
        </w:rPr>
        <w:t>根据采购人提出的(日常/月度)考核标准实</w:t>
      </w:r>
      <w:r>
        <w:rPr>
          <w:spacing w:val="11"/>
          <w:sz w:val="24"/>
          <w:szCs w:val="24"/>
        </w:rPr>
        <w:t>施考核(详见表一、</w:t>
      </w:r>
      <w:r>
        <w:rPr>
          <w:spacing w:val="-9"/>
          <w:sz w:val="24"/>
          <w:szCs w:val="24"/>
        </w:rPr>
        <w:t>二、三)。</w:t>
      </w:r>
    </w:p>
    <w:p w14:paraId="113B4FF6">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6" w:firstLineChars="200"/>
        <w:textAlignment w:val="baseline"/>
        <w:rPr>
          <w:sz w:val="24"/>
          <w:szCs w:val="24"/>
        </w:rPr>
      </w:pPr>
      <w:r>
        <w:rPr>
          <w:spacing w:val="4"/>
          <w:sz w:val="24"/>
          <w:szCs w:val="24"/>
        </w:rPr>
        <w:t>履约保证金：供应商在合同签订后的5个工作日内，以银行转账</w:t>
      </w:r>
      <w:r>
        <w:rPr>
          <w:spacing w:val="6"/>
          <w:sz w:val="24"/>
          <w:szCs w:val="24"/>
        </w:rPr>
        <w:t>方式向采购人支付当前合同总金额的5%作</w:t>
      </w:r>
      <w:r>
        <w:rPr>
          <w:spacing w:val="5"/>
          <w:sz w:val="24"/>
          <w:szCs w:val="24"/>
        </w:rPr>
        <w:t>为履约保证金。当前合同</w:t>
      </w:r>
      <w:r>
        <w:rPr>
          <w:spacing w:val="6"/>
          <w:sz w:val="24"/>
          <w:szCs w:val="24"/>
        </w:rPr>
        <w:t>履约结束后，采购人于5个工作日内退还供应商。</w:t>
      </w:r>
    </w:p>
    <w:p w14:paraId="3F153971">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采购人每月对中标人的服务进行验收考评，根据考核情况支付合</w:t>
      </w:r>
      <w:r>
        <w:rPr>
          <w:spacing w:val="7"/>
          <w:sz w:val="24"/>
          <w:szCs w:val="24"/>
        </w:rPr>
        <w:t>同月结款：月验收评分和日常检查评分分值各为100分，各</w:t>
      </w:r>
      <w:r>
        <w:rPr>
          <w:spacing w:val="6"/>
          <w:sz w:val="24"/>
          <w:szCs w:val="24"/>
        </w:rPr>
        <w:t>得分按</w:t>
      </w:r>
      <w:r>
        <w:rPr>
          <w:spacing w:val="5"/>
          <w:sz w:val="24"/>
          <w:szCs w:val="24"/>
        </w:rPr>
        <w:t>50%比例汇总，综合考核得分达到85分或以上的，视为考核结果“合</w:t>
      </w:r>
      <w:r>
        <w:rPr>
          <w:spacing w:val="15"/>
          <w:sz w:val="24"/>
          <w:szCs w:val="24"/>
        </w:rPr>
        <w:t>格”,按月结费用的100%支付；综合得分为75-85分，视为考核结</w:t>
      </w:r>
      <w:r>
        <w:rPr>
          <w:spacing w:val="19"/>
          <w:sz w:val="24"/>
          <w:szCs w:val="24"/>
        </w:rPr>
        <w:t>果“基本合格”,按月结费用的85%支付，并启动整改机制(详见</w:t>
      </w:r>
      <w:r>
        <w:rPr>
          <w:spacing w:val="4"/>
          <w:sz w:val="24"/>
          <w:szCs w:val="24"/>
        </w:rPr>
        <w:t>表四);考核分数未达到“基本合格”的，或一个年度内出现3次“基</w:t>
      </w:r>
      <w:r>
        <w:rPr>
          <w:spacing w:val="16"/>
          <w:sz w:val="24"/>
          <w:szCs w:val="24"/>
        </w:rPr>
        <w:t>本合格”,或出现连续2次“基本合格”仍</w:t>
      </w:r>
      <w:r>
        <w:rPr>
          <w:spacing w:val="15"/>
          <w:sz w:val="24"/>
          <w:szCs w:val="24"/>
        </w:rPr>
        <w:t>未能有效整改的，视为</w:t>
      </w:r>
      <w:r>
        <w:rPr>
          <w:spacing w:val="5"/>
          <w:sz w:val="24"/>
          <w:szCs w:val="24"/>
        </w:rPr>
        <w:t>考核结果“不合格”,采购人有权解除合同，中标人应赔偿采购人因</w:t>
      </w:r>
      <w:r>
        <w:rPr>
          <w:spacing w:val="4"/>
          <w:sz w:val="24"/>
          <w:szCs w:val="24"/>
        </w:rPr>
        <w:t>解除合同而受到的损失(即履约保证金不予退还，并退还剩余月数预</w:t>
      </w:r>
      <w:r>
        <w:rPr>
          <w:spacing w:val="7"/>
          <w:sz w:val="24"/>
          <w:szCs w:val="24"/>
        </w:rPr>
        <w:t>付款)。出现其他违法违规情形的，将上报相关部门处理。</w:t>
      </w:r>
    </w:p>
    <w:p w14:paraId="486DFB5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0"/>
        <w:rPr>
          <w:sz w:val="24"/>
          <w:szCs w:val="24"/>
        </w:rPr>
      </w:pPr>
      <w:r>
        <w:rPr>
          <w:b/>
          <w:bCs/>
          <w:spacing w:val="-3"/>
          <w:sz w:val="24"/>
          <w:szCs w:val="24"/>
        </w:rPr>
        <w:t>三、费用承担要求</w:t>
      </w:r>
    </w:p>
    <w:p w14:paraId="1B5C472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0" w:firstLineChars="200"/>
        <w:textAlignment w:val="baseline"/>
        <w:rPr>
          <w:sz w:val="24"/>
          <w:szCs w:val="24"/>
        </w:rPr>
      </w:pPr>
      <w:r>
        <w:rPr>
          <w:spacing w:val="15"/>
          <w:sz w:val="24"/>
          <w:szCs w:val="24"/>
        </w:rPr>
        <w:t>(一)采购人承担的费用</w:t>
      </w:r>
    </w:p>
    <w:p w14:paraId="05E7FA25">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rFonts w:ascii="宋体" w:hAnsi="宋体" w:eastAsia="宋体" w:cs="宋体"/>
          <w:spacing w:val="8"/>
          <w:sz w:val="24"/>
          <w:szCs w:val="24"/>
        </w:rPr>
        <w:t>1、</w:t>
      </w:r>
      <w:r>
        <w:rPr>
          <w:spacing w:val="8"/>
          <w:sz w:val="24"/>
          <w:szCs w:val="24"/>
        </w:rPr>
        <w:t>公共水电费用(包括卫生间、绿化、空调、清洁卫生、生活</w:t>
      </w:r>
      <w:r>
        <w:rPr>
          <w:spacing w:val="7"/>
          <w:sz w:val="24"/>
          <w:szCs w:val="24"/>
        </w:rPr>
        <w:t>等各类用水；消防、水泵、照明、各类机电设备等各类的</w:t>
      </w:r>
      <w:r>
        <w:rPr>
          <w:spacing w:val="6"/>
          <w:sz w:val="24"/>
          <w:szCs w:val="24"/>
        </w:rPr>
        <w:t>用电)。</w:t>
      </w:r>
    </w:p>
    <w:p w14:paraId="775D60F2">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0" w:firstLineChars="200"/>
        <w:textAlignment w:val="baseline"/>
        <w:rPr>
          <w:sz w:val="24"/>
          <w:szCs w:val="24"/>
        </w:rPr>
      </w:pPr>
      <w:r>
        <w:rPr>
          <w:rFonts w:ascii="宋体" w:hAnsi="宋体" w:eastAsia="宋体" w:cs="宋体"/>
          <w:spacing w:val="5"/>
          <w:sz w:val="24"/>
          <w:szCs w:val="24"/>
        </w:rPr>
        <w:t>2、</w:t>
      </w:r>
      <w:r>
        <w:rPr>
          <w:spacing w:val="5"/>
          <w:sz w:val="24"/>
          <w:szCs w:val="24"/>
        </w:rPr>
        <w:t>采购人将根据实际调配办公用房和仓库，在委托</w:t>
      </w:r>
      <w:r>
        <w:rPr>
          <w:spacing w:val="4"/>
          <w:sz w:val="24"/>
          <w:szCs w:val="24"/>
        </w:rPr>
        <w:t>期限内交由</w:t>
      </w:r>
      <w:r>
        <w:rPr>
          <w:spacing w:val="-6"/>
          <w:sz w:val="24"/>
          <w:szCs w:val="24"/>
        </w:rPr>
        <w:t>中标人免费使用。</w:t>
      </w:r>
    </w:p>
    <w:p w14:paraId="1E0F11A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sz w:val="24"/>
          <w:szCs w:val="24"/>
        </w:rPr>
      </w:pPr>
      <w:r>
        <w:rPr>
          <w:rFonts w:ascii="宋体" w:hAnsi="宋体" w:eastAsia="宋体" w:cs="宋体"/>
          <w:spacing w:val="2"/>
          <w:sz w:val="24"/>
          <w:szCs w:val="24"/>
        </w:rPr>
        <w:t>3、</w:t>
      </w:r>
      <w:r>
        <w:rPr>
          <w:spacing w:val="2"/>
          <w:sz w:val="24"/>
          <w:szCs w:val="24"/>
        </w:rPr>
        <w:t>水电维护相关维修配件耗材由采购人负责提供。</w:t>
      </w:r>
    </w:p>
    <w:p w14:paraId="128E26BE">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textAlignment w:val="baseline"/>
        <w:rPr>
          <w:sz w:val="24"/>
          <w:szCs w:val="24"/>
        </w:rPr>
      </w:pPr>
      <w:r>
        <w:rPr>
          <w:spacing w:val="12"/>
          <w:sz w:val="24"/>
          <w:szCs w:val="24"/>
        </w:rPr>
        <w:t>(二)中标人承担的费用</w:t>
      </w:r>
    </w:p>
    <w:p w14:paraId="2245B035">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8" w:firstLineChars="200"/>
        <w:textAlignment w:val="baseline"/>
        <w:rPr>
          <w:sz w:val="24"/>
          <w:szCs w:val="24"/>
        </w:rPr>
      </w:pPr>
      <w:r>
        <w:rPr>
          <w:rFonts w:ascii="宋体" w:hAnsi="宋体" w:eastAsia="宋体" w:cs="宋体"/>
          <w:spacing w:val="2"/>
          <w:sz w:val="24"/>
          <w:szCs w:val="24"/>
        </w:rPr>
        <w:t>1、</w:t>
      </w:r>
      <w:r>
        <w:rPr>
          <w:spacing w:val="2"/>
          <w:sz w:val="24"/>
          <w:szCs w:val="24"/>
        </w:rPr>
        <w:t>采购人与中标人服务人员不发生任何劳动和雇佣关系，所有</w:t>
      </w:r>
      <w:r>
        <w:rPr>
          <w:spacing w:val="-1"/>
          <w:sz w:val="24"/>
          <w:szCs w:val="24"/>
        </w:rPr>
        <w:t>服务人员由中标人自行管理，并按法律法规和地方政府的规定支付服</w:t>
      </w:r>
      <w:r>
        <w:rPr>
          <w:spacing w:val="2"/>
          <w:sz w:val="24"/>
          <w:szCs w:val="24"/>
        </w:rPr>
        <w:t>务人员的工资、福利、保险、奖金、加班费、服装等一</w:t>
      </w:r>
      <w:r>
        <w:rPr>
          <w:spacing w:val="1"/>
          <w:sz w:val="24"/>
          <w:szCs w:val="24"/>
        </w:rPr>
        <w:t>切费用。</w:t>
      </w:r>
    </w:p>
    <w:p w14:paraId="41FDCB9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rFonts w:ascii="宋体" w:hAnsi="宋体" w:eastAsia="宋体" w:cs="宋体"/>
          <w:spacing w:val="1"/>
          <w:sz w:val="24"/>
          <w:szCs w:val="24"/>
        </w:rPr>
        <w:t>2、</w:t>
      </w:r>
      <w:r>
        <w:rPr>
          <w:spacing w:val="1"/>
          <w:sz w:val="24"/>
          <w:szCs w:val="24"/>
        </w:rPr>
        <w:t>中标人应按照《中华人民共和国社会保险法》的相关规定，</w:t>
      </w:r>
      <w:r>
        <w:rPr>
          <w:spacing w:val="5"/>
          <w:sz w:val="24"/>
          <w:szCs w:val="24"/>
        </w:rPr>
        <w:t>支付国家规定必须购买的社会保险(包括医疗、养老、工伤、失</w:t>
      </w:r>
      <w:r>
        <w:rPr>
          <w:spacing w:val="4"/>
          <w:sz w:val="24"/>
          <w:szCs w:val="24"/>
        </w:rPr>
        <w:t>业、</w:t>
      </w:r>
      <w:r>
        <w:rPr>
          <w:spacing w:val="19"/>
          <w:sz w:val="24"/>
          <w:szCs w:val="24"/>
        </w:rPr>
        <w:t>生育)。</w:t>
      </w:r>
    </w:p>
    <w:p w14:paraId="5E901BDB">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92" w:firstLineChars="200"/>
        <w:textAlignment w:val="baseline"/>
        <w:rPr>
          <w:sz w:val="24"/>
          <w:szCs w:val="24"/>
        </w:rPr>
      </w:pPr>
      <w:r>
        <w:rPr>
          <w:rFonts w:ascii="宋体" w:hAnsi="宋体" w:eastAsia="宋体" w:cs="宋体"/>
          <w:spacing w:val="3"/>
          <w:sz w:val="24"/>
          <w:szCs w:val="24"/>
        </w:rPr>
        <w:t>3、</w:t>
      </w:r>
      <w:r>
        <w:rPr>
          <w:spacing w:val="3"/>
          <w:sz w:val="24"/>
          <w:szCs w:val="24"/>
        </w:rPr>
        <w:t>清洁卫生费用：用于物业管理区域的清扫保</w:t>
      </w:r>
      <w:r>
        <w:rPr>
          <w:spacing w:val="2"/>
          <w:sz w:val="24"/>
          <w:szCs w:val="24"/>
        </w:rPr>
        <w:t>洁、垃圾收集运</w:t>
      </w:r>
      <w:r>
        <w:rPr>
          <w:spacing w:val="8"/>
          <w:sz w:val="24"/>
          <w:szCs w:val="24"/>
        </w:rPr>
        <w:t>输等服务所收取的费用，包括清洁耗材(垃圾袋、清洁剂等)、清洁</w:t>
      </w:r>
      <w:r>
        <w:rPr>
          <w:spacing w:val="11"/>
          <w:sz w:val="24"/>
          <w:szCs w:val="24"/>
        </w:rPr>
        <w:t>工具(扫把、拖把、清洁刷、垃圾桶等)、垃圾清运(生活垃圾的收</w:t>
      </w:r>
      <w:r>
        <w:rPr>
          <w:spacing w:val="2"/>
          <w:sz w:val="24"/>
          <w:szCs w:val="24"/>
        </w:rPr>
        <w:t>集、运输、处理等)、化粪池清理、清洁开荒(房屋在建设或装修后，</w:t>
      </w:r>
      <w:r>
        <w:rPr>
          <w:spacing w:val="-1"/>
          <w:sz w:val="24"/>
          <w:szCs w:val="24"/>
        </w:rPr>
        <w:t>需进行全面除尘、擦拭玻璃、表面养护、清洗地面、除污消毒、装修</w:t>
      </w:r>
      <w:r>
        <w:rPr>
          <w:spacing w:val="7"/>
          <w:sz w:val="24"/>
          <w:szCs w:val="24"/>
        </w:rPr>
        <w:t>痕迹清理等)等费用。</w:t>
      </w:r>
    </w:p>
    <w:p w14:paraId="5A3D113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w:t>
      </w:r>
      <w:r>
        <w:rPr>
          <w:spacing w:val="1"/>
          <w:sz w:val="24"/>
          <w:szCs w:val="24"/>
        </w:rPr>
        <w:t>绿化养护费用</w:t>
      </w:r>
    </w:p>
    <w:p w14:paraId="1DFAE9D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仿宋"/>
          <w:spacing w:val="8"/>
          <w:sz w:val="24"/>
          <w:szCs w:val="24"/>
          <w:lang w:eastAsia="zh-CN"/>
        </w:rPr>
      </w:pPr>
      <w:r>
        <w:rPr>
          <w:spacing w:val="-1"/>
          <w:sz w:val="24"/>
          <w:szCs w:val="24"/>
        </w:rPr>
        <w:t>用于绿化的浇水、修剪、除草、打药、补苗等所产生的费用，包括</w:t>
      </w:r>
      <w:r>
        <w:rPr>
          <w:spacing w:val="8"/>
          <w:sz w:val="24"/>
          <w:szCs w:val="24"/>
        </w:rPr>
        <w:t>绿化材料、绿化工具(修剪机、割草机、打药机等)、绿化劳保</w:t>
      </w:r>
      <w:r>
        <w:rPr>
          <w:spacing w:val="7"/>
          <w:sz w:val="24"/>
          <w:szCs w:val="24"/>
        </w:rPr>
        <w:t>用品(雨衣、雨鞋、安全帽等)、绿化垃圾清运等费用。</w:t>
      </w:r>
    </w:p>
    <w:p w14:paraId="07253CC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ascii="宋体" w:hAnsi="宋体" w:eastAsia="宋体" w:cs="宋体"/>
          <w:sz w:val="24"/>
          <w:szCs w:val="24"/>
        </w:rPr>
        <w:t>5</w:t>
      </w:r>
      <w:r>
        <w:rPr>
          <w:rFonts w:hint="eastAsia" w:ascii="宋体" w:hAnsi="宋体" w:eastAsia="宋体" w:cs="宋体"/>
          <w:sz w:val="24"/>
          <w:szCs w:val="24"/>
          <w:lang w:eastAsia="zh-CN"/>
        </w:rPr>
        <w:t>、</w:t>
      </w:r>
      <w:r>
        <w:rPr>
          <w:sz w:val="24"/>
          <w:szCs w:val="24"/>
        </w:rPr>
        <w:t>消杀费用</w:t>
      </w:r>
    </w:p>
    <w:p w14:paraId="3A5A7AFC">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2" w:firstLineChars="200"/>
        <w:textAlignment w:val="baseline"/>
        <w:rPr>
          <w:sz w:val="24"/>
          <w:szCs w:val="24"/>
        </w:rPr>
      </w:pPr>
      <w:r>
        <w:rPr>
          <w:spacing w:val="8"/>
          <w:sz w:val="24"/>
          <w:szCs w:val="24"/>
        </w:rPr>
        <w:t>消杀费用包括四害(蚊、蝇、鼠、蟑螂)消杀、红火蚁</w:t>
      </w:r>
      <w:r>
        <w:rPr>
          <w:spacing w:val="7"/>
          <w:sz w:val="24"/>
          <w:szCs w:val="24"/>
        </w:rPr>
        <w:t>防治、白蚁</w:t>
      </w:r>
      <w:r>
        <w:rPr>
          <w:spacing w:val="-3"/>
          <w:sz w:val="24"/>
          <w:szCs w:val="24"/>
        </w:rPr>
        <w:t>防治、捕蛇、捕蜂等费用。</w:t>
      </w:r>
    </w:p>
    <w:p w14:paraId="3336A594">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rFonts w:ascii="宋体" w:hAnsi="宋体" w:eastAsia="宋体" w:cs="宋体"/>
          <w:spacing w:val="1"/>
          <w:sz w:val="24"/>
          <w:szCs w:val="24"/>
        </w:rPr>
        <w:t>6、</w:t>
      </w:r>
      <w:r>
        <w:rPr>
          <w:spacing w:val="1"/>
          <w:sz w:val="24"/>
          <w:szCs w:val="24"/>
        </w:rPr>
        <w:t>水电维修费用</w:t>
      </w:r>
    </w:p>
    <w:p w14:paraId="51CFC6D0">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仿宋"/>
          <w:sz w:val="24"/>
          <w:szCs w:val="24"/>
          <w:lang w:eastAsia="zh-CN"/>
        </w:rPr>
      </w:pPr>
      <w:r>
        <w:rPr>
          <w:sz w:val="24"/>
          <w:szCs w:val="24"/>
        </w:rPr>
        <w:t>水电维修所需设备、工具等费用</w:t>
      </w:r>
      <w:r>
        <w:rPr>
          <w:rFonts w:hint="eastAsia"/>
          <w:sz w:val="24"/>
          <w:szCs w:val="24"/>
          <w:lang w:eastAsia="zh-CN"/>
        </w:rPr>
        <w:t>。</w:t>
      </w:r>
    </w:p>
    <w:p w14:paraId="5994024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ascii="宋体" w:hAnsi="宋体" w:eastAsia="宋体" w:cs="宋体"/>
          <w:sz w:val="24"/>
          <w:szCs w:val="24"/>
        </w:rPr>
        <w:t>7、</w:t>
      </w:r>
      <w:r>
        <w:rPr>
          <w:sz w:val="24"/>
          <w:szCs w:val="24"/>
        </w:rPr>
        <w:t>其他费用</w:t>
      </w:r>
    </w:p>
    <w:p w14:paraId="4FADB51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spacing w:val="20"/>
          <w:sz w:val="24"/>
          <w:szCs w:val="24"/>
        </w:rPr>
      </w:pPr>
      <w:r>
        <w:rPr>
          <w:spacing w:val="9"/>
          <w:sz w:val="24"/>
          <w:szCs w:val="24"/>
        </w:rPr>
        <w:t>用于保障物业管理区域内的办公设备(电脑</w:t>
      </w:r>
      <w:r>
        <w:rPr>
          <w:spacing w:val="8"/>
          <w:sz w:val="24"/>
          <w:szCs w:val="24"/>
        </w:rPr>
        <w:t>、打印机等)、办公用</w:t>
      </w:r>
      <w:r>
        <w:rPr>
          <w:spacing w:val="11"/>
          <w:sz w:val="24"/>
          <w:szCs w:val="24"/>
        </w:rPr>
        <w:t>品(纸张、笔墨等)、交通设备、交通费(车辆油耗、维修保养、车</w:t>
      </w:r>
      <w:r>
        <w:rPr>
          <w:spacing w:val="20"/>
          <w:sz w:val="24"/>
          <w:szCs w:val="24"/>
        </w:rPr>
        <w:t>费)、通讯费(电话、手机等)等费用。</w:t>
      </w:r>
    </w:p>
    <w:p w14:paraId="20F7CB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spacing w:val="20"/>
          <w:sz w:val="24"/>
          <w:szCs w:val="24"/>
        </w:rPr>
      </w:pPr>
    </w:p>
    <w:p w14:paraId="5233983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spacing w:val="20"/>
          <w:sz w:val="24"/>
          <w:szCs w:val="24"/>
        </w:rPr>
        <w:sectPr>
          <w:pgSz w:w="11910" w:h="16840"/>
          <w:pgMar w:top="1440" w:right="1080" w:bottom="1440" w:left="1080" w:header="0" w:footer="0" w:gutter="0"/>
          <w:cols w:space="720" w:num="1"/>
        </w:sectPr>
      </w:pPr>
    </w:p>
    <w:p w14:paraId="07314036">
      <w:pPr>
        <w:pStyle w:val="5"/>
        <w:keepNext w:val="0"/>
        <w:keepLines w:val="0"/>
        <w:pageBreakBefore w:val="0"/>
        <w:widowControl w:val="0"/>
        <w:kinsoku w:val="0"/>
        <w:wordWrap/>
        <w:overflowPunct/>
        <w:topLinePunct w:val="0"/>
        <w:autoSpaceDE w:val="0"/>
        <w:autoSpaceDN w:val="0"/>
        <w:bidi w:val="0"/>
        <w:adjustRightInd w:val="0"/>
        <w:snapToGrid w:val="0"/>
        <w:spacing w:before="65" w:line="221" w:lineRule="auto"/>
        <w:ind w:left="666"/>
        <w:textAlignment w:val="baseline"/>
        <w:rPr>
          <w:sz w:val="24"/>
          <w:szCs w:val="24"/>
        </w:rPr>
      </w:pPr>
      <w:r>
        <w:rPr>
          <w:b/>
          <w:bCs/>
          <w:spacing w:val="7"/>
          <w:sz w:val="24"/>
          <w:szCs w:val="24"/>
        </w:rPr>
        <w:t>表一、广东省粤东技师学院梅州校区保洁、绿化及水电维护服</w:t>
      </w:r>
      <w:r>
        <w:rPr>
          <w:b/>
          <w:bCs/>
          <w:spacing w:val="6"/>
          <w:sz w:val="24"/>
          <w:szCs w:val="24"/>
        </w:rPr>
        <w:t>务月验收评分表</w:t>
      </w:r>
    </w:p>
    <w:p w14:paraId="379CECA4">
      <w:pPr>
        <w:keepNext w:val="0"/>
        <w:keepLines w:val="0"/>
        <w:pageBreakBefore w:val="0"/>
        <w:widowControl w:val="0"/>
        <w:kinsoku w:val="0"/>
        <w:wordWrap/>
        <w:overflowPunct/>
        <w:topLinePunct w:val="0"/>
        <w:autoSpaceDE w:val="0"/>
        <w:autoSpaceDN w:val="0"/>
        <w:bidi w:val="0"/>
        <w:adjustRightInd w:val="0"/>
        <w:snapToGrid w:val="0"/>
        <w:spacing w:line="123" w:lineRule="exact"/>
        <w:textAlignment w:val="baseline"/>
        <w:rPr>
          <w:sz w:val="24"/>
          <w:szCs w:val="24"/>
        </w:rPr>
      </w:pPr>
    </w:p>
    <w:tbl>
      <w:tblPr>
        <w:tblStyle w:val="21"/>
        <w:tblW w:w="10080"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6960"/>
        <w:gridCol w:w="900"/>
        <w:gridCol w:w="795"/>
      </w:tblGrid>
      <w:tr w14:paraId="1A55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25" w:type="dxa"/>
            <w:vAlign w:val="top"/>
          </w:tcPr>
          <w:p w14:paraId="64FC7EFE">
            <w:pPr>
              <w:pStyle w:val="20"/>
              <w:keepNext w:val="0"/>
              <w:keepLines w:val="0"/>
              <w:pageBreakBefore w:val="0"/>
              <w:widowControl w:val="0"/>
              <w:kinsoku w:val="0"/>
              <w:wordWrap/>
              <w:overflowPunct/>
              <w:topLinePunct w:val="0"/>
              <w:autoSpaceDE w:val="0"/>
              <w:autoSpaceDN w:val="0"/>
              <w:bidi w:val="0"/>
              <w:adjustRightInd w:val="0"/>
              <w:snapToGrid w:val="0"/>
              <w:spacing w:before="170" w:line="219" w:lineRule="auto"/>
              <w:ind w:left="267"/>
              <w:textAlignment w:val="baseline"/>
              <w:rPr>
                <w:rFonts w:hint="eastAsia" w:ascii="仿宋" w:hAnsi="仿宋" w:eastAsia="仿宋" w:cs="仿宋"/>
                <w:sz w:val="24"/>
                <w:szCs w:val="24"/>
              </w:rPr>
            </w:pPr>
            <w:r>
              <w:rPr>
                <w:rFonts w:hint="eastAsia" w:ascii="仿宋" w:hAnsi="仿宋" w:eastAsia="仿宋" w:cs="仿宋"/>
                <w:b/>
                <w:bCs/>
                <w:spacing w:val="5"/>
                <w:sz w:val="24"/>
                <w:szCs w:val="24"/>
              </w:rPr>
              <w:t>考核项目</w:t>
            </w:r>
          </w:p>
        </w:tc>
        <w:tc>
          <w:tcPr>
            <w:tcW w:w="6960" w:type="dxa"/>
            <w:vAlign w:val="top"/>
          </w:tcPr>
          <w:p w14:paraId="4B760BF8">
            <w:pPr>
              <w:pStyle w:val="20"/>
              <w:keepNext w:val="0"/>
              <w:keepLines w:val="0"/>
              <w:pageBreakBefore w:val="0"/>
              <w:widowControl w:val="0"/>
              <w:kinsoku w:val="0"/>
              <w:wordWrap/>
              <w:overflowPunct/>
              <w:topLinePunct w:val="0"/>
              <w:autoSpaceDE w:val="0"/>
              <w:autoSpaceDN w:val="0"/>
              <w:bidi w:val="0"/>
              <w:adjustRightInd w:val="0"/>
              <w:snapToGrid w:val="0"/>
              <w:spacing w:before="170" w:line="219" w:lineRule="auto"/>
              <w:ind w:left="2383"/>
              <w:textAlignment w:val="baseline"/>
              <w:rPr>
                <w:rFonts w:hint="eastAsia" w:ascii="仿宋" w:hAnsi="仿宋" w:eastAsia="仿宋" w:cs="仿宋"/>
                <w:sz w:val="24"/>
                <w:szCs w:val="24"/>
              </w:rPr>
            </w:pPr>
            <w:r>
              <w:rPr>
                <w:rFonts w:hint="eastAsia" w:ascii="仿宋" w:hAnsi="仿宋" w:eastAsia="仿宋" w:cs="仿宋"/>
                <w:b/>
                <w:bCs/>
                <w:spacing w:val="-4"/>
                <w:sz w:val="24"/>
                <w:szCs w:val="24"/>
              </w:rPr>
              <w:t>考核标准</w:t>
            </w:r>
          </w:p>
        </w:tc>
        <w:tc>
          <w:tcPr>
            <w:tcW w:w="900" w:type="dxa"/>
            <w:vAlign w:val="top"/>
          </w:tcPr>
          <w:p w14:paraId="641E29ED">
            <w:pPr>
              <w:pStyle w:val="20"/>
              <w:keepNext w:val="0"/>
              <w:keepLines w:val="0"/>
              <w:pageBreakBefore w:val="0"/>
              <w:widowControl w:val="0"/>
              <w:kinsoku w:val="0"/>
              <w:wordWrap/>
              <w:overflowPunct/>
              <w:topLinePunct w:val="0"/>
              <w:autoSpaceDE w:val="0"/>
              <w:autoSpaceDN w:val="0"/>
              <w:bidi w:val="0"/>
              <w:adjustRightInd w:val="0"/>
              <w:snapToGrid w:val="0"/>
              <w:spacing w:before="32" w:line="231" w:lineRule="auto"/>
              <w:ind w:left="198" w:right="209"/>
              <w:textAlignment w:val="baseline"/>
              <w:rPr>
                <w:rFonts w:hint="eastAsia" w:ascii="仿宋" w:hAnsi="仿宋" w:eastAsia="仿宋" w:cs="仿宋"/>
                <w:sz w:val="24"/>
                <w:szCs w:val="24"/>
              </w:rPr>
            </w:pPr>
            <w:r>
              <w:rPr>
                <w:rFonts w:hint="eastAsia" w:ascii="仿宋" w:hAnsi="仿宋" w:eastAsia="仿宋" w:cs="仿宋"/>
                <w:spacing w:val="-5"/>
                <w:sz w:val="24"/>
                <w:szCs w:val="24"/>
              </w:rPr>
              <w:t>标准分值</w:t>
            </w:r>
          </w:p>
        </w:tc>
        <w:tc>
          <w:tcPr>
            <w:tcW w:w="795" w:type="dxa"/>
            <w:vAlign w:val="top"/>
          </w:tcPr>
          <w:p w14:paraId="58F36EF5">
            <w:pPr>
              <w:pStyle w:val="20"/>
              <w:keepNext w:val="0"/>
              <w:keepLines w:val="0"/>
              <w:pageBreakBefore w:val="0"/>
              <w:widowControl w:val="0"/>
              <w:kinsoku w:val="0"/>
              <w:wordWrap/>
              <w:overflowPunct/>
              <w:topLinePunct w:val="0"/>
              <w:autoSpaceDE w:val="0"/>
              <w:autoSpaceDN w:val="0"/>
              <w:bidi w:val="0"/>
              <w:adjustRightInd w:val="0"/>
              <w:snapToGrid w:val="0"/>
              <w:spacing w:before="21" w:line="244" w:lineRule="auto"/>
              <w:ind w:left="118" w:right="122"/>
              <w:textAlignment w:val="baseline"/>
              <w:rPr>
                <w:rFonts w:hint="eastAsia" w:ascii="仿宋" w:hAnsi="仿宋" w:eastAsia="仿宋" w:cs="仿宋"/>
                <w:sz w:val="24"/>
                <w:szCs w:val="24"/>
              </w:rPr>
            </w:pPr>
            <w:r>
              <w:rPr>
                <w:rFonts w:hint="eastAsia" w:ascii="仿宋" w:hAnsi="仿宋" w:eastAsia="仿宋" w:cs="仿宋"/>
                <w:spacing w:val="-4"/>
                <w:sz w:val="24"/>
                <w:szCs w:val="24"/>
              </w:rPr>
              <w:t>考评</w:t>
            </w:r>
            <w:r>
              <w:rPr>
                <w:rFonts w:hint="eastAsia" w:ascii="仿宋" w:hAnsi="仿宋" w:eastAsia="仿宋" w:cs="仿宋"/>
                <w:spacing w:val="-5"/>
                <w:sz w:val="24"/>
                <w:szCs w:val="24"/>
              </w:rPr>
              <w:t>得分</w:t>
            </w:r>
          </w:p>
        </w:tc>
      </w:tr>
      <w:tr w14:paraId="4E6C4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425" w:type="dxa"/>
            <w:vMerge w:val="restart"/>
            <w:tcBorders>
              <w:bottom w:val="nil"/>
            </w:tcBorders>
            <w:vAlign w:val="top"/>
          </w:tcPr>
          <w:p w14:paraId="4C54110E">
            <w:pPr>
              <w:keepNext w:val="0"/>
              <w:keepLines w:val="0"/>
              <w:pageBreakBefore w:val="0"/>
              <w:widowControl w:val="0"/>
              <w:kinsoku w:val="0"/>
              <w:wordWrap/>
              <w:overflowPunct/>
              <w:topLinePunct w:val="0"/>
              <w:autoSpaceDE w:val="0"/>
              <w:autoSpaceDN w:val="0"/>
              <w:bidi w:val="0"/>
              <w:adjustRightInd w:val="0"/>
              <w:snapToGrid w:val="0"/>
              <w:spacing w:line="289" w:lineRule="auto"/>
              <w:textAlignment w:val="baseline"/>
              <w:rPr>
                <w:rFonts w:hint="eastAsia" w:ascii="仿宋" w:hAnsi="仿宋" w:eastAsia="仿宋" w:cs="仿宋"/>
                <w:sz w:val="24"/>
                <w:szCs w:val="24"/>
              </w:rPr>
            </w:pPr>
          </w:p>
          <w:p w14:paraId="531E8CF3">
            <w:pPr>
              <w:keepNext w:val="0"/>
              <w:keepLines w:val="0"/>
              <w:pageBreakBefore w:val="0"/>
              <w:widowControl w:val="0"/>
              <w:kinsoku w:val="0"/>
              <w:wordWrap/>
              <w:overflowPunct/>
              <w:topLinePunct w:val="0"/>
              <w:autoSpaceDE w:val="0"/>
              <w:autoSpaceDN w:val="0"/>
              <w:bidi w:val="0"/>
              <w:adjustRightInd w:val="0"/>
              <w:snapToGrid w:val="0"/>
              <w:spacing w:line="290" w:lineRule="auto"/>
              <w:textAlignment w:val="baseline"/>
              <w:rPr>
                <w:rFonts w:hint="eastAsia" w:ascii="仿宋" w:hAnsi="仿宋" w:eastAsia="仿宋" w:cs="仿宋"/>
                <w:sz w:val="24"/>
                <w:szCs w:val="24"/>
              </w:rPr>
            </w:pPr>
          </w:p>
          <w:p w14:paraId="501EFFD3">
            <w:pPr>
              <w:keepNext w:val="0"/>
              <w:keepLines w:val="0"/>
              <w:pageBreakBefore w:val="0"/>
              <w:widowControl w:val="0"/>
              <w:kinsoku w:val="0"/>
              <w:wordWrap/>
              <w:overflowPunct/>
              <w:topLinePunct w:val="0"/>
              <w:autoSpaceDE w:val="0"/>
              <w:autoSpaceDN w:val="0"/>
              <w:bidi w:val="0"/>
              <w:adjustRightInd w:val="0"/>
              <w:snapToGrid w:val="0"/>
              <w:spacing w:line="290" w:lineRule="auto"/>
              <w:textAlignment w:val="baseline"/>
              <w:rPr>
                <w:rFonts w:hint="eastAsia" w:ascii="仿宋" w:hAnsi="仿宋" w:eastAsia="仿宋" w:cs="仿宋"/>
                <w:sz w:val="24"/>
                <w:szCs w:val="24"/>
              </w:rPr>
            </w:pPr>
          </w:p>
          <w:p w14:paraId="3CAA54ED">
            <w:pPr>
              <w:pStyle w:val="20"/>
              <w:keepNext w:val="0"/>
              <w:keepLines w:val="0"/>
              <w:pageBreakBefore w:val="0"/>
              <w:widowControl w:val="0"/>
              <w:kinsoku w:val="0"/>
              <w:wordWrap/>
              <w:overflowPunct/>
              <w:topLinePunct w:val="0"/>
              <w:autoSpaceDE w:val="0"/>
              <w:autoSpaceDN w:val="0"/>
              <w:bidi w:val="0"/>
              <w:adjustRightInd w:val="0"/>
              <w:snapToGrid w:val="0"/>
              <w:spacing w:before="61" w:line="219" w:lineRule="auto"/>
              <w:ind w:left="77"/>
              <w:textAlignment w:val="baseline"/>
              <w:rPr>
                <w:rFonts w:hint="eastAsia" w:ascii="仿宋" w:hAnsi="仿宋" w:eastAsia="仿宋" w:cs="仿宋"/>
                <w:sz w:val="24"/>
                <w:szCs w:val="24"/>
              </w:rPr>
            </w:pPr>
            <w:r>
              <w:rPr>
                <w:rFonts w:hint="eastAsia" w:ascii="仿宋" w:hAnsi="仿宋" w:eastAsia="仿宋" w:cs="仿宋"/>
                <w:b/>
                <w:bCs/>
                <w:spacing w:val="-5"/>
                <w:sz w:val="24"/>
                <w:szCs w:val="24"/>
              </w:rPr>
              <w:t>一、基础管理</w:t>
            </w:r>
          </w:p>
          <w:p w14:paraId="1E8E157E">
            <w:pPr>
              <w:pStyle w:val="20"/>
              <w:keepNext w:val="0"/>
              <w:keepLines w:val="0"/>
              <w:pageBreakBefore w:val="0"/>
              <w:widowControl w:val="0"/>
              <w:kinsoku w:val="0"/>
              <w:wordWrap/>
              <w:overflowPunct/>
              <w:topLinePunct w:val="0"/>
              <w:autoSpaceDE w:val="0"/>
              <w:autoSpaceDN w:val="0"/>
              <w:bidi w:val="0"/>
              <w:adjustRightInd w:val="0"/>
              <w:snapToGrid w:val="0"/>
              <w:spacing w:before="45" w:line="220" w:lineRule="auto"/>
              <w:ind w:left="357"/>
              <w:textAlignment w:val="baseline"/>
              <w:rPr>
                <w:rFonts w:hint="eastAsia" w:ascii="仿宋" w:hAnsi="仿宋" w:eastAsia="仿宋" w:cs="仿宋"/>
                <w:sz w:val="24"/>
                <w:szCs w:val="24"/>
              </w:rPr>
            </w:pPr>
            <w:r>
              <w:rPr>
                <w:rFonts w:hint="eastAsia" w:ascii="仿宋" w:hAnsi="仿宋" w:eastAsia="仿宋" w:cs="仿宋"/>
                <w:b/>
                <w:bCs/>
                <w:spacing w:val="5"/>
                <w:sz w:val="24"/>
                <w:szCs w:val="24"/>
              </w:rPr>
              <w:t>(20分)</w:t>
            </w:r>
          </w:p>
        </w:tc>
        <w:tc>
          <w:tcPr>
            <w:tcW w:w="6960" w:type="dxa"/>
            <w:vAlign w:val="top"/>
          </w:tcPr>
          <w:p w14:paraId="5DCA1F95">
            <w:pPr>
              <w:pStyle w:val="20"/>
              <w:keepNext w:val="0"/>
              <w:keepLines w:val="0"/>
              <w:pageBreakBefore w:val="0"/>
              <w:widowControl w:val="0"/>
              <w:kinsoku w:val="0"/>
              <w:wordWrap/>
              <w:overflowPunct/>
              <w:topLinePunct w:val="0"/>
              <w:autoSpaceDE w:val="0"/>
              <w:autoSpaceDN w:val="0"/>
              <w:bidi w:val="0"/>
              <w:adjustRightInd w:val="0"/>
              <w:snapToGrid w:val="0"/>
              <w:spacing w:before="48" w:line="243" w:lineRule="auto"/>
              <w:ind w:left="51" w:firstLine="39"/>
              <w:jc w:val="both"/>
              <w:textAlignment w:val="baseline"/>
              <w:rPr>
                <w:rFonts w:hint="eastAsia" w:ascii="仿宋" w:hAnsi="仿宋" w:eastAsia="仿宋" w:cs="仿宋"/>
                <w:sz w:val="24"/>
                <w:szCs w:val="24"/>
              </w:rPr>
            </w:pPr>
            <w:r>
              <w:rPr>
                <w:rFonts w:hint="eastAsia" w:ascii="仿宋" w:hAnsi="仿宋" w:eastAsia="仿宋" w:cs="仿宋"/>
                <w:spacing w:val="-8"/>
                <w:sz w:val="24"/>
                <w:szCs w:val="24"/>
              </w:rPr>
              <w:t>1.根据采购文件及学校要求，建立健全适合该项目的各项管理制度、</w:t>
            </w:r>
            <w:r>
              <w:rPr>
                <w:rFonts w:hint="eastAsia" w:ascii="仿宋" w:hAnsi="仿宋" w:eastAsia="仿宋" w:cs="仿宋"/>
                <w:spacing w:val="-1"/>
                <w:sz w:val="24"/>
                <w:szCs w:val="24"/>
              </w:rPr>
              <w:t>服务质量标准、做好员工的专业培训工作、各工作岗位考核标准、</w:t>
            </w:r>
            <w:r>
              <w:rPr>
                <w:rFonts w:hint="eastAsia" w:ascii="仿宋" w:hAnsi="仿宋" w:eastAsia="仿宋" w:cs="仿宋"/>
                <w:spacing w:val="-3"/>
                <w:sz w:val="24"/>
                <w:szCs w:val="24"/>
              </w:rPr>
              <w:t>奖惩办法完善，作风严谨。</w:t>
            </w:r>
          </w:p>
        </w:tc>
        <w:tc>
          <w:tcPr>
            <w:tcW w:w="900" w:type="dxa"/>
            <w:vAlign w:val="top"/>
          </w:tcPr>
          <w:p w14:paraId="346B3F5C">
            <w:pPr>
              <w:keepNext w:val="0"/>
              <w:keepLines w:val="0"/>
              <w:pageBreakBefore w:val="0"/>
              <w:widowControl w:val="0"/>
              <w:kinsoku w:val="0"/>
              <w:wordWrap/>
              <w:overflowPunct/>
              <w:topLinePunct w:val="0"/>
              <w:autoSpaceDE w:val="0"/>
              <w:autoSpaceDN w:val="0"/>
              <w:bidi w:val="0"/>
              <w:adjustRightInd w:val="0"/>
              <w:snapToGrid w:val="0"/>
              <w:spacing w:line="294" w:lineRule="auto"/>
              <w:textAlignment w:val="baseline"/>
              <w:rPr>
                <w:rFonts w:hint="eastAsia" w:ascii="仿宋" w:hAnsi="仿宋" w:eastAsia="仿宋" w:cs="仿宋"/>
                <w:sz w:val="24"/>
                <w:szCs w:val="24"/>
              </w:rPr>
            </w:pPr>
          </w:p>
          <w:p w14:paraId="67867B0C">
            <w:pPr>
              <w:pStyle w:val="20"/>
              <w:keepNext w:val="0"/>
              <w:keepLines w:val="0"/>
              <w:pageBreakBefore w:val="0"/>
              <w:widowControl w:val="0"/>
              <w:kinsoku w:val="0"/>
              <w:wordWrap/>
              <w:overflowPunct/>
              <w:topLinePunct w:val="0"/>
              <w:autoSpaceDE w:val="0"/>
              <w:autoSpaceDN w:val="0"/>
              <w:bidi w:val="0"/>
              <w:adjustRightInd w:val="0"/>
              <w:snapToGrid w:val="0"/>
              <w:spacing w:before="62"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795" w:type="dxa"/>
            <w:vAlign w:val="top"/>
          </w:tcPr>
          <w:p w14:paraId="7977E76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6FA53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425" w:type="dxa"/>
            <w:vMerge w:val="continue"/>
            <w:tcBorders>
              <w:top w:val="nil"/>
              <w:bottom w:val="nil"/>
            </w:tcBorders>
            <w:vAlign w:val="top"/>
          </w:tcPr>
          <w:p w14:paraId="0907008B">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56321D76">
            <w:pPr>
              <w:pStyle w:val="20"/>
              <w:keepNext w:val="0"/>
              <w:keepLines w:val="0"/>
              <w:pageBreakBefore w:val="0"/>
              <w:widowControl w:val="0"/>
              <w:kinsoku w:val="0"/>
              <w:wordWrap/>
              <w:overflowPunct/>
              <w:topLinePunct w:val="0"/>
              <w:autoSpaceDE w:val="0"/>
              <w:autoSpaceDN w:val="0"/>
              <w:bidi w:val="0"/>
              <w:adjustRightInd w:val="0"/>
              <w:snapToGrid w:val="0"/>
              <w:spacing w:before="50" w:line="238" w:lineRule="auto"/>
              <w:ind w:left="51"/>
              <w:textAlignment w:val="baseline"/>
              <w:rPr>
                <w:rFonts w:hint="eastAsia" w:ascii="仿宋" w:hAnsi="仿宋" w:eastAsia="仿宋" w:cs="仿宋"/>
                <w:sz w:val="24"/>
                <w:szCs w:val="24"/>
              </w:rPr>
            </w:pPr>
            <w:r>
              <w:rPr>
                <w:rFonts w:hint="eastAsia" w:ascii="仿宋" w:hAnsi="仿宋" w:eastAsia="仿宋" w:cs="仿宋"/>
                <w:spacing w:val="-1"/>
                <w:sz w:val="24"/>
                <w:szCs w:val="24"/>
              </w:rPr>
              <w:t>2.物业管理人员和专业技术人员按岗位人员配置数量到岗，员工统</w:t>
            </w:r>
            <w:r>
              <w:rPr>
                <w:rFonts w:hint="eastAsia" w:ascii="仿宋" w:hAnsi="仿宋" w:eastAsia="仿宋" w:cs="仿宋"/>
                <w:sz w:val="24"/>
                <w:szCs w:val="24"/>
              </w:rPr>
              <w:t>一着装，佩戴明显标志，工作规范，服务态度</w:t>
            </w:r>
            <w:r>
              <w:rPr>
                <w:rFonts w:hint="eastAsia" w:ascii="仿宋" w:hAnsi="仿宋" w:eastAsia="仿宋" w:cs="仿宋"/>
                <w:spacing w:val="-1"/>
                <w:sz w:val="24"/>
                <w:szCs w:val="24"/>
              </w:rPr>
              <w:t>良好。</w:t>
            </w:r>
          </w:p>
        </w:tc>
        <w:tc>
          <w:tcPr>
            <w:tcW w:w="900" w:type="dxa"/>
            <w:vAlign w:val="top"/>
          </w:tcPr>
          <w:p w14:paraId="10FFD3F2">
            <w:pPr>
              <w:pStyle w:val="20"/>
              <w:keepNext w:val="0"/>
              <w:keepLines w:val="0"/>
              <w:pageBreakBefore w:val="0"/>
              <w:widowControl w:val="0"/>
              <w:kinsoku w:val="0"/>
              <w:wordWrap/>
              <w:overflowPunct/>
              <w:topLinePunct w:val="0"/>
              <w:autoSpaceDE w:val="0"/>
              <w:autoSpaceDN w:val="0"/>
              <w:bidi w:val="0"/>
              <w:adjustRightInd w:val="0"/>
              <w:snapToGrid w:val="0"/>
              <w:spacing w:before="228"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795" w:type="dxa"/>
            <w:vAlign w:val="top"/>
          </w:tcPr>
          <w:p w14:paraId="2D1AEB61">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3E9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25" w:type="dxa"/>
            <w:vMerge w:val="continue"/>
            <w:tcBorders>
              <w:top w:val="nil"/>
              <w:bottom w:val="nil"/>
            </w:tcBorders>
            <w:vAlign w:val="top"/>
          </w:tcPr>
          <w:p w14:paraId="0F96503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51CA77D9">
            <w:pPr>
              <w:pStyle w:val="20"/>
              <w:keepNext w:val="0"/>
              <w:keepLines w:val="0"/>
              <w:pageBreakBefore w:val="0"/>
              <w:widowControl w:val="0"/>
              <w:kinsoku w:val="0"/>
              <w:wordWrap/>
              <w:overflowPunct/>
              <w:topLinePunct w:val="0"/>
              <w:autoSpaceDE w:val="0"/>
              <w:autoSpaceDN w:val="0"/>
              <w:bidi w:val="0"/>
              <w:adjustRightInd w:val="0"/>
              <w:snapToGrid w:val="0"/>
              <w:spacing w:before="58" w:line="243" w:lineRule="auto"/>
              <w:ind w:left="51" w:firstLine="29"/>
              <w:textAlignment w:val="baseline"/>
              <w:rPr>
                <w:rFonts w:hint="eastAsia" w:ascii="仿宋" w:hAnsi="仿宋" w:eastAsia="仿宋" w:cs="仿宋"/>
                <w:sz w:val="24"/>
                <w:szCs w:val="24"/>
              </w:rPr>
            </w:pPr>
            <w:r>
              <w:rPr>
                <w:rFonts w:hint="eastAsia" w:ascii="仿宋" w:hAnsi="仿宋" w:eastAsia="仿宋" w:cs="仿宋"/>
                <w:spacing w:val="-2"/>
                <w:sz w:val="24"/>
                <w:szCs w:val="24"/>
              </w:rPr>
              <w:t>3.进行科学管理，设立服务电话，联系通畅，受理学校管理部门的</w:t>
            </w:r>
            <w:r>
              <w:rPr>
                <w:rFonts w:hint="eastAsia" w:ascii="仿宋" w:hAnsi="仿宋" w:eastAsia="仿宋" w:cs="仿宋"/>
                <w:spacing w:val="-1"/>
                <w:sz w:val="24"/>
                <w:szCs w:val="24"/>
              </w:rPr>
              <w:t>意见、建议、投诉等，及时做好信息的收集、处理、反馈、记录。</w:t>
            </w:r>
          </w:p>
        </w:tc>
        <w:tc>
          <w:tcPr>
            <w:tcW w:w="900" w:type="dxa"/>
            <w:vAlign w:val="top"/>
          </w:tcPr>
          <w:p w14:paraId="3E39581F">
            <w:pPr>
              <w:pStyle w:val="20"/>
              <w:keepNext w:val="0"/>
              <w:keepLines w:val="0"/>
              <w:pageBreakBefore w:val="0"/>
              <w:widowControl w:val="0"/>
              <w:kinsoku w:val="0"/>
              <w:wordWrap/>
              <w:overflowPunct/>
              <w:topLinePunct w:val="0"/>
              <w:autoSpaceDE w:val="0"/>
              <w:autoSpaceDN w:val="0"/>
              <w:bidi w:val="0"/>
              <w:adjustRightInd w:val="0"/>
              <w:snapToGrid w:val="0"/>
              <w:spacing w:before="239" w:line="182"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795" w:type="dxa"/>
            <w:vAlign w:val="top"/>
          </w:tcPr>
          <w:p w14:paraId="09654C53">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362CC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25" w:type="dxa"/>
            <w:vMerge w:val="continue"/>
            <w:tcBorders>
              <w:top w:val="nil"/>
            </w:tcBorders>
            <w:vAlign w:val="top"/>
          </w:tcPr>
          <w:p w14:paraId="59376A64">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F3D1BAA">
            <w:pPr>
              <w:pStyle w:val="20"/>
              <w:keepNext w:val="0"/>
              <w:keepLines w:val="0"/>
              <w:pageBreakBefore w:val="0"/>
              <w:widowControl w:val="0"/>
              <w:kinsoku w:val="0"/>
              <w:wordWrap/>
              <w:overflowPunct/>
              <w:topLinePunct w:val="0"/>
              <w:autoSpaceDE w:val="0"/>
              <w:autoSpaceDN w:val="0"/>
              <w:bidi w:val="0"/>
              <w:adjustRightInd w:val="0"/>
              <w:snapToGrid w:val="0"/>
              <w:spacing w:before="69" w:line="218"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4.管理机构齐全，主要管理人员发生变化及时告知、备案。</w:t>
            </w:r>
          </w:p>
        </w:tc>
        <w:tc>
          <w:tcPr>
            <w:tcW w:w="900" w:type="dxa"/>
            <w:vAlign w:val="top"/>
          </w:tcPr>
          <w:p w14:paraId="3A798A48">
            <w:pPr>
              <w:pStyle w:val="20"/>
              <w:keepNext w:val="0"/>
              <w:keepLines w:val="0"/>
              <w:pageBreakBefore w:val="0"/>
              <w:widowControl w:val="0"/>
              <w:kinsoku w:val="0"/>
              <w:wordWrap/>
              <w:overflowPunct/>
              <w:topLinePunct w:val="0"/>
              <w:autoSpaceDE w:val="0"/>
              <w:autoSpaceDN w:val="0"/>
              <w:bidi w:val="0"/>
              <w:adjustRightInd w:val="0"/>
              <w:snapToGrid w:val="0"/>
              <w:spacing w:before="119"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795" w:type="dxa"/>
            <w:vAlign w:val="top"/>
          </w:tcPr>
          <w:p w14:paraId="1AF293B0">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58F8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25" w:type="dxa"/>
            <w:vMerge w:val="restart"/>
            <w:tcBorders>
              <w:bottom w:val="nil"/>
            </w:tcBorders>
            <w:vAlign w:val="top"/>
          </w:tcPr>
          <w:p w14:paraId="3D2AB44F">
            <w:pPr>
              <w:keepNext w:val="0"/>
              <w:keepLines w:val="0"/>
              <w:pageBreakBefore w:val="0"/>
              <w:widowControl w:val="0"/>
              <w:kinsoku w:val="0"/>
              <w:wordWrap/>
              <w:overflowPunct/>
              <w:topLinePunct w:val="0"/>
              <w:autoSpaceDE w:val="0"/>
              <w:autoSpaceDN w:val="0"/>
              <w:bidi w:val="0"/>
              <w:adjustRightInd w:val="0"/>
              <w:snapToGrid w:val="0"/>
              <w:spacing w:line="269" w:lineRule="auto"/>
              <w:textAlignment w:val="baseline"/>
              <w:rPr>
                <w:rFonts w:hint="eastAsia" w:ascii="仿宋" w:hAnsi="仿宋" w:eastAsia="仿宋" w:cs="仿宋"/>
                <w:sz w:val="24"/>
                <w:szCs w:val="24"/>
              </w:rPr>
            </w:pPr>
          </w:p>
          <w:p w14:paraId="7BF69D87">
            <w:pPr>
              <w:keepNext w:val="0"/>
              <w:keepLines w:val="0"/>
              <w:pageBreakBefore w:val="0"/>
              <w:widowControl w:val="0"/>
              <w:kinsoku w:val="0"/>
              <w:wordWrap/>
              <w:overflowPunct/>
              <w:topLinePunct w:val="0"/>
              <w:autoSpaceDE w:val="0"/>
              <w:autoSpaceDN w:val="0"/>
              <w:bidi w:val="0"/>
              <w:adjustRightInd w:val="0"/>
              <w:snapToGrid w:val="0"/>
              <w:spacing w:line="269" w:lineRule="auto"/>
              <w:textAlignment w:val="baseline"/>
              <w:rPr>
                <w:rFonts w:hint="eastAsia" w:ascii="仿宋" w:hAnsi="仿宋" w:eastAsia="仿宋" w:cs="仿宋"/>
                <w:sz w:val="24"/>
                <w:szCs w:val="24"/>
              </w:rPr>
            </w:pPr>
          </w:p>
          <w:p w14:paraId="2643328E">
            <w:pPr>
              <w:keepNext w:val="0"/>
              <w:keepLines w:val="0"/>
              <w:pageBreakBefore w:val="0"/>
              <w:widowControl w:val="0"/>
              <w:kinsoku w:val="0"/>
              <w:wordWrap/>
              <w:overflowPunct/>
              <w:topLinePunct w:val="0"/>
              <w:autoSpaceDE w:val="0"/>
              <w:autoSpaceDN w:val="0"/>
              <w:bidi w:val="0"/>
              <w:adjustRightInd w:val="0"/>
              <w:snapToGrid w:val="0"/>
              <w:spacing w:line="269" w:lineRule="auto"/>
              <w:textAlignment w:val="baseline"/>
              <w:rPr>
                <w:rFonts w:hint="eastAsia" w:ascii="仿宋" w:hAnsi="仿宋" w:eastAsia="仿宋" w:cs="仿宋"/>
                <w:sz w:val="24"/>
                <w:szCs w:val="24"/>
              </w:rPr>
            </w:pPr>
          </w:p>
          <w:p w14:paraId="3A657FF4">
            <w:pPr>
              <w:keepNext w:val="0"/>
              <w:keepLines w:val="0"/>
              <w:pageBreakBefore w:val="0"/>
              <w:widowControl w:val="0"/>
              <w:kinsoku w:val="0"/>
              <w:wordWrap/>
              <w:overflowPunct/>
              <w:topLinePunct w:val="0"/>
              <w:autoSpaceDE w:val="0"/>
              <w:autoSpaceDN w:val="0"/>
              <w:bidi w:val="0"/>
              <w:adjustRightInd w:val="0"/>
              <w:snapToGrid w:val="0"/>
              <w:spacing w:line="269" w:lineRule="auto"/>
              <w:textAlignment w:val="baseline"/>
              <w:rPr>
                <w:rFonts w:hint="eastAsia" w:ascii="仿宋" w:hAnsi="仿宋" w:eastAsia="仿宋" w:cs="仿宋"/>
                <w:sz w:val="24"/>
                <w:szCs w:val="24"/>
              </w:rPr>
            </w:pPr>
          </w:p>
          <w:p w14:paraId="3B664FE0">
            <w:pPr>
              <w:keepNext w:val="0"/>
              <w:keepLines w:val="0"/>
              <w:pageBreakBefore w:val="0"/>
              <w:widowControl w:val="0"/>
              <w:kinsoku w:val="0"/>
              <w:wordWrap/>
              <w:overflowPunct/>
              <w:topLinePunct w:val="0"/>
              <w:autoSpaceDE w:val="0"/>
              <w:autoSpaceDN w:val="0"/>
              <w:bidi w:val="0"/>
              <w:adjustRightInd w:val="0"/>
              <w:snapToGrid w:val="0"/>
              <w:spacing w:line="270" w:lineRule="auto"/>
              <w:textAlignment w:val="baseline"/>
              <w:rPr>
                <w:rFonts w:hint="eastAsia" w:ascii="仿宋" w:hAnsi="仿宋" w:eastAsia="仿宋" w:cs="仿宋"/>
                <w:sz w:val="24"/>
                <w:szCs w:val="24"/>
              </w:rPr>
            </w:pPr>
          </w:p>
          <w:p w14:paraId="0B9E7534">
            <w:pPr>
              <w:keepNext w:val="0"/>
              <w:keepLines w:val="0"/>
              <w:pageBreakBefore w:val="0"/>
              <w:widowControl w:val="0"/>
              <w:kinsoku w:val="0"/>
              <w:wordWrap/>
              <w:overflowPunct/>
              <w:topLinePunct w:val="0"/>
              <w:autoSpaceDE w:val="0"/>
              <w:autoSpaceDN w:val="0"/>
              <w:bidi w:val="0"/>
              <w:adjustRightInd w:val="0"/>
              <w:snapToGrid w:val="0"/>
              <w:spacing w:line="270" w:lineRule="auto"/>
              <w:textAlignment w:val="baseline"/>
              <w:rPr>
                <w:rFonts w:hint="eastAsia" w:ascii="仿宋" w:hAnsi="仿宋" w:eastAsia="仿宋" w:cs="仿宋"/>
                <w:sz w:val="24"/>
                <w:szCs w:val="24"/>
              </w:rPr>
            </w:pPr>
          </w:p>
          <w:p w14:paraId="09097EB2">
            <w:pPr>
              <w:pStyle w:val="20"/>
              <w:keepNext w:val="0"/>
              <w:keepLines w:val="0"/>
              <w:pageBreakBefore w:val="0"/>
              <w:widowControl w:val="0"/>
              <w:kinsoku w:val="0"/>
              <w:wordWrap/>
              <w:overflowPunct/>
              <w:topLinePunct w:val="0"/>
              <w:autoSpaceDE w:val="0"/>
              <w:autoSpaceDN w:val="0"/>
              <w:bidi w:val="0"/>
              <w:adjustRightInd w:val="0"/>
              <w:snapToGrid w:val="0"/>
              <w:spacing w:before="62" w:line="219" w:lineRule="auto"/>
              <w:ind w:left="77"/>
              <w:textAlignment w:val="baseline"/>
              <w:rPr>
                <w:rFonts w:hint="eastAsia" w:ascii="仿宋" w:hAnsi="仿宋" w:eastAsia="仿宋" w:cs="仿宋"/>
                <w:sz w:val="24"/>
                <w:szCs w:val="24"/>
              </w:rPr>
            </w:pPr>
            <w:r>
              <w:rPr>
                <w:rFonts w:hint="eastAsia" w:ascii="仿宋" w:hAnsi="仿宋" w:eastAsia="仿宋" w:cs="仿宋"/>
                <w:b/>
                <w:bCs/>
                <w:spacing w:val="-4"/>
                <w:sz w:val="24"/>
                <w:szCs w:val="24"/>
              </w:rPr>
              <w:t>二、保洁服务</w:t>
            </w:r>
          </w:p>
          <w:p w14:paraId="219D9BDC">
            <w:pPr>
              <w:pStyle w:val="20"/>
              <w:keepNext w:val="0"/>
              <w:keepLines w:val="0"/>
              <w:pageBreakBefore w:val="0"/>
              <w:widowControl w:val="0"/>
              <w:kinsoku w:val="0"/>
              <w:wordWrap/>
              <w:overflowPunct/>
              <w:topLinePunct w:val="0"/>
              <w:autoSpaceDE w:val="0"/>
              <w:autoSpaceDN w:val="0"/>
              <w:bidi w:val="0"/>
              <w:adjustRightInd w:val="0"/>
              <w:snapToGrid w:val="0"/>
              <w:spacing w:before="24" w:line="220" w:lineRule="auto"/>
              <w:ind w:left="357"/>
              <w:textAlignment w:val="baseline"/>
              <w:rPr>
                <w:rFonts w:hint="eastAsia" w:ascii="仿宋" w:hAnsi="仿宋" w:eastAsia="仿宋" w:cs="仿宋"/>
                <w:sz w:val="24"/>
                <w:szCs w:val="24"/>
              </w:rPr>
            </w:pPr>
            <w:r>
              <w:rPr>
                <w:rFonts w:hint="eastAsia" w:ascii="仿宋" w:hAnsi="仿宋" w:eastAsia="仿宋" w:cs="仿宋"/>
                <w:b/>
                <w:bCs/>
                <w:spacing w:val="5"/>
                <w:sz w:val="24"/>
                <w:szCs w:val="24"/>
              </w:rPr>
              <w:t>(50分)</w:t>
            </w:r>
          </w:p>
        </w:tc>
        <w:tc>
          <w:tcPr>
            <w:tcW w:w="6960" w:type="dxa"/>
            <w:vAlign w:val="top"/>
          </w:tcPr>
          <w:p w14:paraId="38690C2E">
            <w:pPr>
              <w:pStyle w:val="20"/>
              <w:keepNext w:val="0"/>
              <w:keepLines w:val="0"/>
              <w:pageBreakBefore w:val="0"/>
              <w:widowControl w:val="0"/>
              <w:kinsoku w:val="0"/>
              <w:wordWrap/>
              <w:overflowPunct/>
              <w:topLinePunct w:val="0"/>
              <w:autoSpaceDE w:val="0"/>
              <w:autoSpaceDN w:val="0"/>
              <w:bidi w:val="0"/>
              <w:adjustRightInd w:val="0"/>
              <w:snapToGrid w:val="0"/>
              <w:spacing w:before="41" w:line="237" w:lineRule="auto"/>
              <w:ind w:left="51" w:firstLine="49"/>
              <w:textAlignment w:val="baseline"/>
              <w:rPr>
                <w:rFonts w:hint="eastAsia" w:ascii="仿宋" w:hAnsi="仿宋" w:eastAsia="仿宋" w:cs="仿宋"/>
                <w:sz w:val="24"/>
                <w:szCs w:val="24"/>
              </w:rPr>
            </w:pPr>
            <w:r>
              <w:rPr>
                <w:rFonts w:hint="eastAsia" w:ascii="仿宋" w:hAnsi="仿宋" w:eastAsia="仿宋" w:cs="仿宋"/>
                <w:spacing w:val="-2"/>
                <w:sz w:val="24"/>
                <w:szCs w:val="24"/>
              </w:rPr>
              <w:t>1.清洁卫生实行责任制，明确责任范围，落实</w:t>
            </w:r>
            <w:r>
              <w:rPr>
                <w:rFonts w:hint="eastAsia" w:ascii="仿宋" w:hAnsi="仿宋" w:eastAsia="仿宋" w:cs="仿宋"/>
                <w:spacing w:val="-3"/>
                <w:sz w:val="24"/>
                <w:szCs w:val="24"/>
              </w:rPr>
              <w:t>到人；配有专业的清</w:t>
            </w:r>
            <w:r>
              <w:rPr>
                <w:rFonts w:hint="eastAsia" w:ascii="仿宋" w:hAnsi="仿宋" w:eastAsia="仿宋" w:cs="仿宋"/>
                <w:sz w:val="24"/>
                <w:szCs w:val="24"/>
              </w:rPr>
              <w:t>洁人员，并实行标准化考核。</w:t>
            </w:r>
          </w:p>
        </w:tc>
        <w:tc>
          <w:tcPr>
            <w:tcW w:w="900" w:type="dxa"/>
            <w:vAlign w:val="top"/>
          </w:tcPr>
          <w:p w14:paraId="588B59B6">
            <w:pPr>
              <w:pStyle w:val="20"/>
              <w:keepNext w:val="0"/>
              <w:keepLines w:val="0"/>
              <w:pageBreakBefore w:val="0"/>
              <w:widowControl w:val="0"/>
              <w:kinsoku w:val="0"/>
              <w:wordWrap/>
              <w:overflowPunct/>
              <w:topLinePunct w:val="0"/>
              <w:autoSpaceDE w:val="0"/>
              <w:autoSpaceDN w:val="0"/>
              <w:bidi w:val="0"/>
              <w:adjustRightInd w:val="0"/>
              <w:snapToGrid w:val="0"/>
              <w:spacing w:before="229"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795" w:type="dxa"/>
            <w:vAlign w:val="top"/>
          </w:tcPr>
          <w:p w14:paraId="0E189D1B">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6E45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25" w:type="dxa"/>
            <w:vMerge w:val="continue"/>
            <w:tcBorders>
              <w:top w:val="nil"/>
              <w:bottom w:val="nil"/>
            </w:tcBorders>
            <w:vAlign w:val="top"/>
          </w:tcPr>
          <w:p w14:paraId="4D41F25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6D474B24">
            <w:pPr>
              <w:pStyle w:val="20"/>
              <w:keepNext w:val="0"/>
              <w:keepLines w:val="0"/>
              <w:pageBreakBefore w:val="0"/>
              <w:widowControl w:val="0"/>
              <w:kinsoku w:val="0"/>
              <w:wordWrap/>
              <w:overflowPunct/>
              <w:topLinePunct w:val="0"/>
              <w:autoSpaceDE w:val="0"/>
              <w:autoSpaceDN w:val="0"/>
              <w:bidi w:val="0"/>
              <w:adjustRightInd w:val="0"/>
              <w:snapToGrid w:val="0"/>
              <w:spacing w:before="41" w:line="237" w:lineRule="auto"/>
              <w:ind w:left="51"/>
              <w:textAlignment w:val="baseline"/>
              <w:rPr>
                <w:rFonts w:hint="eastAsia" w:ascii="仿宋" w:hAnsi="仿宋" w:eastAsia="仿宋" w:cs="仿宋"/>
                <w:sz w:val="24"/>
                <w:szCs w:val="24"/>
              </w:rPr>
            </w:pPr>
            <w:r>
              <w:rPr>
                <w:rFonts w:hint="eastAsia" w:ascii="仿宋" w:hAnsi="仿宋" w:eastAsia="仿宋" w:cs="仿宋"/>
                <w:spacing w:val="-1"/>
                <w:sz w:val="24"/>
                <w:szCs w:val="24"/>
              </w:rPr>
              <w:t>2.整体卫生：教学区、学生宿舍区域无垃圾、污渍、水渍、灰尘；</w:t>
            </w:r>
            <w:r>
              <w:rPr>
                <w:rFonts w:hint="eastAsia" w:ascii="仿宋" w:hAnsi="仿宋" w:eastAsia="仿宋" w:cs="仿宋"/>
                <w:spacing w:val="-3"/>
                <w:sz w:val="24"/>
                <w:szCs w:val="24"/>
              </w:rPr>
              <w:t>室外公共区域无明显垃圾污渍、水渍、积尘。</w:t>
            </w:r>
          </w:p>
        </w:tc>
        <w:tc>
          <w:tcPr>
            <w:tcW w:w="900" w:type="dxa"/>
            <w:vAlign w:val="top"/>
          </w:tcPr>
          <w:p w14:paraId="38325DC5">
            <w:pPr>
              <w:pStyle w:val="20"/>
              <w:keepNext w:val="0"/>
              <w:keepLines w:val="0"/>
              <w:pageBreakBefore w:val="0"/>
              <w:widowControl w:val="0"/>
              <w:kinsoku w:val="0"/>
              <w:wordWrap/>
              <w:overflowPunct/>
              <w:topLinePunct w:val="0"/>
              <w:autoSpaceDE w:val="0"/>
              <w:autoSpaceDN w:val="0"/>
              <w:bidi w:val="0"/>
              <w:adjustRightInd w:val="0"/>
              <w:snapToGrid w:val="0"/>
              <w:spacing w:before="229" w:line="184" w:lineRule="auto"/>
              <w:ind w:left="298"/>
              <w:textAlignment w:val="baseline"/>
              <w:rPr>
                <w:rFonts w:hint="eastAsia" w:ascii="仿宋" w:hAnsi="仿宋" w:eastAsia="仿宋" w:cs="仿宋"/>
                <w:sz w:val="24"/>
                <w:szCs w:val="24"/>
              </w:rPr>
            </w:pPr>
            <w:r>
              <w:rPr>
                <w:rFonts w:hint="eastAsia" w:ascii="仿宋" w:hAnsi="仿宋" w:eastAsia="仿宋" w:cs="仿宋"/>
                <w:spacing w:val="-6"/>
                <w:sz w:val="24"/>
                <w:szCs w:val="24"/>
              </w:rPr>
              <w:t>10</w:t>
            </w:r>
          </w:p>
        </w:tc>
        <w:tc>
          <w:tcPr>
            <w:tcW w:w="795" w:type="dxa"/>
            <w:vAlign w:val="top"/>
          </w:tcPr>
          <w:p w14:paraId="38136ED4">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2F7E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25" w:type="dxa"/>
            <w:vMerge w:val="continue"/>
            <w:tcBorders>
              <w:top w:val="nil"/>
              <w:bottom w:val="nil"/>
            </w:tcBorders>
            <w:vAlign w:val="top"/>
          </w:tcPr>
          <w:p w14:paraId="3B885053">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6949252">
            <w:pPr>
              <w:pStyle w:val="20"/>
              <w:keepNext w:val="0"/>
              <w:keepLines w:val="0"/>
              <w:pageBreakBefore w:val="0"/>
              <w:widowControl w:val="0"/>
              <w:kinsoku w:val="0"/>
              <w:wordWrap/>
              <w:overflowPunct/>
              <w:topLinePunct w:val="0"/>
              <w:autoSpaceDE w:val="0"/>
              <w:autoSpaceDN w:val="0"/>
              <w:bidi w:val="0"/>
              <w:adjustRightInd w:val="0"/>
              <w:snapToGrid w:val="0"/>
              <w:spacing w:before="91"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3.卫生间：保持干净，无异味、无蚊蝇滋生、垃圾及时清理。</w:t>
            </w:r>
          </w:p>
        </w:tc>
        <w:tc>
          <w:tcPr>
            <w:tcW w:w="900" w:type="dxa"/>
            <w:vAlign w:val="top"/>
          </w:tcPr>
          <w:p w14:paraId="27C17E40">
            <w:pPr>
              <w:pStyle w:val="20"/>
              <w:keepNext w:val="0"/>
              <w:keepLines w:val="0"/>
              <w:pageBreakBefore w:val="0"/>
              <w:widowControl w:val="0"/>
              <w:kinsoku w:val="0"/>
              <w:wordWrap/>
              <w:overflowPunct/>
              <w:topLinePunct w:val="0"/>
              <w:autoSpaceDE w:val="0"/>
              <w:autoSpaceDN w:val="0"/>
              <w:bidi w:val="0"/>
              <w:adjustRightInd w:val="0"/>
              <w:snapToGrid w:val="0"/>
              <w:spacing w:before="141"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795" w:type="dxa"/>
            <w:vAlign w:val="top"/>
          </w:tcPr>
          <w:p w14:paraId="6919FBC5">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34112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425" w:type="dxa"/>
            <w:vMerge w:val="continue"/>
            <w:tcBorders>
              <w:top w:val="nil"/>
              <w:bottom w:val="nil"/>
            </w:tcBorders>
            <w:vAlign w:val="top"/>
          </w:tcPr>
          <w:p w14:paraId="5A7CE7D0">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41460504">
            <w:pPr>
              <w:pStyle w:val="20"/>
              <w:keepNext w:val="0"/>
              <w:keepLines w:val="0"/>
              <w:pageBreakBefore w:val="0"/>
              <w:widowControl w:val="0"/>
              <w:kinsoku w:val="0"/>
              <w:wordWrap/>
              <w:overflowPunct/>
              <w:topLinePunct w:val="0"/>
              <w:autoSpaceDE w:val="0"/>
              <w:autoSpaceDN w:val="0"/>
              <w:bidi w:val="0"/>
              <w:adjustRightInd w:val="0"/>
              <w:snapToGrid w:val="0"/>
              <w:spacing w:before="51" w:line="242" w:lineRule="auto"/>
              <w:ind w:left="51"/>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4.各管网：雨水管道、沟渠、化粪池按规定及时进行清掏，确保各管道畅通。落实蓄水设备的清洗、消毒、检测，定期对生活用水的水质进行检测，每季度报送一次水质检测记录。</w:t>
            </w:r>
          </w:p>
        </w:tc>
        <w:tc>
          <w:tcPr>
            <w:tcW w:w="900" w:type="dxa"/>
            <w:vAlign w:val="top"/>
          </w:tcPr>
          <w:p w14:paraId="7AB48B40">
            <w:pPr>
              <w:keepNext w:val="0"/>
              <w:keepLines w:val="0"/>
              <w:pageBreakBefore w:val="0"/>
              <w:widowControl w:val="0"/>
              <w:kinsoku w:val="0"/>
              <w:wordWrap/>
              <w:overflowPunct/>
              <w:topLinePunct w:val="0"/>
              <w:autoSpaceDE w:val="0"/>
              <w:autoSpaceDN w:val="0"/>
              <w:bidi w:val="0"/>
              <w:adjustRightInd w:val="0"/>
              <w:snapToGrid w:val="0"/>
              <w:spacing w:line="298" w:lineRule="auto"/>
              <w:textAlignment w:val="baseline"/>
              <w:rPr>
                <w:rFonts w:hint="eastAsia" w:ascii="仿宋" w:hAnsi="仿宋" w:eastAsia="仿宋" w:cs="仿宋"/>
                <w:sz w:val="24"/>
                <w:szCs w:val="24"/>
              </w:rPr>
            </w:pPr>
          </w:p>
          <w:p w14:paraId="35454B73">
            <w:pPr>
              <w:pStyle w:val="20"/>
              <w:keepNext w:val="0"/>
              <w:keepLines w:val="0"/>
              <w:pageBreakBefore w:val="0"/>
              <w:widowControl w:val="0"/>
              <w:kinsoku w:val="0"/>
              <w:wordWrap/>
              <w:overflowPunct/>
              <w:topLinePunct w:val="0"/>
              <w:autoSpaceDE w:val="0"/>
              <w:autoSpaceDN w:val="0"/>
              <w:bidi w:val="0"/>
              <w:adjustRightInd w:val="0"/>
              <w:snapToGrid w:val="0"/>
              <w:spacing w:before="62"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795" w:type="dxa"/>
            <w:vAlign w:val="top"/>
          </w:tcPr>
          <w:p w14:paraId="2D131D8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375E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25" w:type="dxa"/>
            <w:vMerge w:val="continue"/>
            <w:tcBorders>
              <w:top w:val="nil"/>
              <w:bottom w:val="nil"/>
            </w:tcBorders>
            <w:vAlign w:val="top"/>
          </w:tcPr>
          <w:p w14:paraId="4D765295">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0A1B600">
            <w:pPr>
              <w:pStyle w:val="20"/>
              <w:keepNext w:val="0"/>
              <w:keepLines w:val="0"/>
              <w:pageBreakBefore w:val="0"/>
              <w:widowControl w:val="0"/>
              <w:kinsoku w:val="0"/>
              <w:wordWrap/>
              <w:overflowPunct/>
              <w:topLinePunct w:val="0"/>
              <w:autoSpaceDE w:val="0"/>
              <w:autoSpaceDN w:val="0"/>
              <w:bidi w:val="0"/>
              <w:adjustRightInd w:val="0"/>
              <w:snapToGrid w:val="0"/>
              <w:spacing w:before="53" w:line="210"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5.垃圾清运：每日收集两次垃圾，并及时进行集中清运。</w:t>
            </w:r>
          </w:p>
        </w:tc>
        <w:tc>
          <w:tcPr>
            <w:tcW w:w="900" w:type="dxa"/>
            <w:vAlign w:val="top"/>
          </w:tcPr>
          <w:p w14:paraId="68E6BD14">
            <w:pPr>
              <w:pStyle w:val="20"/>
              <w:keepNext w:val="0"/>
              <w:keepLines w:val="0"/>
              <w:pageBreakBefore w:val="0"/>
              <w:widowControl w:val="0"/>
              <w:kinsoku w:val="0"/>
              <w:wordWrap/>
              <w:overflowPunct/>
              <w:topLinePunct w:val="0"/>
              <w:autoSpaceDE w:val="0"/>
              <w:autoSpaceDN w:val="0"/>
              <w:bidi w:val="0"/>
              <w:adjustRightInd w:val="0"/>
              <w:snapToGrid w:val="0"/>
              <w:spacing w:before="103" w:line="162"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795" w:type="dxa"/>
            <w:vAlign w:val="top"/>
          </w:tcPr>
          <w:p w14:paraId="1E9A7F3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51EB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425" w:type="dxa"/>
            <w:vMerge w:val="continue"/>
            <w:tcBorders>
              <w:top w:val="nil"/>
              <w:bottom w:val="nil"/>
            </w:tcBorders>
            <w:vAlign w:val="top"/>
          </w:tcPr>
          <w:p w14:paraId="75F0CC7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976E592">
            <w:pPr>
              <w:pStyle w:val="20"/>
              <w:keepNext w:val="0"/>
              <w:keepLines w:val="0"/>
              <w:pageBreakBefore w:val="0"/>
              <w:widowControl w:val="0"/>
              <w:kinsoku w:val="0"/>
              <w:wordWrap/>
              <w:overflowPunct/>
              <w:topLinePunct w:val="0"/>
              <w:autoSpaceDE w:val="0"/>
              <w:autoSpaceDN w:val="0"/>
              <w:bidi w:val="0"/>
              <w:adjustRightInd w:val="0"/>
              <w:snapToGrid w:val="0"/>
              <w:spacing w:before="42" w:line="245" w:lineRule="auto"/>
              <w:ind w:left="51" w:firstLine="29"/>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6.四害消杀：定期消杀，发现跳蚤、蚊子、苍蝇滋生及时处理。在</w:t>
            </w:r>
            <w:r>
              <w:rPr>
                <w:rFonts w:hint="eastAsia" w:ascii="仿宋" w:hAnsi="仿宋" w:eastAsia="仿宋" w:cs="仿宋"/>
                <w:spacing w:val="-1"/>
                <w:sz w:val="24"/>
                <w:szCs w:val="24"/>
              </w:rPr>
              <w:t>节日、庆典、会议等大型活动中按要求做好保洁工作，完成临时性</w:t>
            </w:r>
            <w:r>
              <w:rPr>
                <w:rFonts w:hint="eastAsia" w:ascii="仿宋" w:hAnsi="仿宋" w:eastAsia="仿宋" w:cs="仿宋"/>
                <w:sz w:val="24"/>
                <w:szCs w:val="24"/>
              </w:rPr>
              <w:t>卫生清洁任务。</w:t>
            </w:r>
          </w:p>
        </w:tc>
        <w:tc>
          <w:tcPr>
            <w:tcW w:w="900" w:type="dxa"/>
            <w:vAlign w:val="top"/>
          </w:tcPr>
          <w:p w14:paraId="587678C7">
            <w:pPr>
              <w:keepNext w:val="0"/>
              <w:keepLines w:val="0"/>
              <w:pageBreakBefore w:val="0"/>
              <w:widowControl w:val="0"/>
              <w:kinsoku w:val="0"/>
              <w:wordWrap/>
              <w:overflowPunct/>
              <w:topLinePunct w:val="0"/>
              <w:autoSpaceDE w:val="0"/>
              <w:autoSpaceDN w:val="0"/>
              <w:bidi w:val="0"/>
              <w:adjustRightInd w:val="0"/>
              <w:snapToGrid w:val="0"/>
              <w:spacing w:line="299" w:lineRule="auto"/>
              <w:textAlignment w:val="baseline"/>
              <w:rPr>
                <w:rFonts w:hint="eastAsia" w:ascii="仿宋" w:hAnsi="仿宋" w:eastAsia="仿宋" w:cs="仿宋"/>
                <w:sz w:val="24"/>
                <w:szCs w:val="24"/>
              </w:rPr>
            </w:pPr>
          </w:p>
          <w:p w14:paraId="0B3946EE">
            <w:pPr>
              <w:pStyle w:val="20"/>
              <w:keepNext w:val="0"/>
              <w:keepLines w:val="0"/>
              <w:pageBreakBefore w:val="0"/>
              <w:widowControl w:val="0"/>
              <w:kinsoku w:val="0"/>
              <w:wordWrap/>
              <w:overflowPunct/>
              <w:topLinePunct w:val="0"/>
              <w:autoSpaceDE w:val="0"/>
              <w:autoSpaceDN w:val="0"/>
              <w:bidi w:val="0"/>
              <w:adjustRightInd w:val="0"/>
              <w:snapToGrid w:val="0"/>
              <w:spacing w:before="62"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795" w:type="dxa"/>
            <w:vAlign w:val="top"/>
          </w:tcPr>
          <w:p w14:paraId="4D1B0D4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436B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5" w:type="dxa"/>
            <w:vMerge w:val="continue"/>
            <w:tcBorders>
              <w:top w:val="nil"/>
            </w:tcBorders>
            <w:vAlign w:val="top"/>
          </w:tcPr>
          <w:p w14:paraId="1EEF1B9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B831635">
            <w:pPr>
              <w:pStyle w:val="20"/>
              <w:keepNext w:val="0"/>
              <w:keepLines w:val="0"/>
              <w:pageBreakBefore w:val="0"/>
              <w:widowControl w:val="0"/>
              <w:kinsoku w:val="0"/>
              <w:wordWrap/>
              <w:overflowPunct/>
              <w:topLinePunct w:val="0"/>
              <w:autoSpaceDE w:val="0"/>
              <w:autoSpaceDN w:val="0"/>
              <w:bidi w:val="0"/>
              <w:adjustRightInd w:val="0"/>
              <w:snapToGrid w:val="0"/>
              <w:spacing w:before="94"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7.按疫情防控要求定期对校园进行消杀，并做好记录。</w:t>
            </w:r>
          </w:p>
        </w:tc>
        <w:tc>
          <w:tcPr>
            <w:tcW w:w="900" w:type="dxa"/>
            <w:vAlign w:val="top"/>
          </w:tcPr>
          <w:p w14:paraId="16092A8F">
            <w:pPr>
              <w:pStyle w:val="20"/>
              <w:keepNext w:val="0"/>
              <w:keepLines w:val="0"/>
              <w:pageBreakBefore w:val="0"/>
              <w:widowControl w:val="0"/>
              <w:kinsoku w:val="0"/>
              <w:wordWrap/>
              <w:overflowPunct/>
              <w:topLinePunct w:val="0"/>
              <w:autoSpaceDE w:val="0"/>
              <w:autoSpaceDN w:val="0"/>
              <w:bidi w:val="0"/>
              <w:adjustRightInd w:val="0"/>
              <w:snapToGrid w:val="0"/>
              <w:spacing w:before="143"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795" w:type="dxa"/>
            <w:vAlign w:val="top"/>
          </w:tcPr>
          <w:p w14:paraId="003505D5">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B9C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25" w:type="dxa"/>
            <w:vMerge w:val="restart"/>
            <w:tcBorders>
              <w:bottom w:val="nil"/>
            </w:tcBorders>
            <w:vAlign w:val="top"/>
          </w:tcPr>
          <w:p w14:paraId="357B187C">
            <w:pPr>
              <w:keepNext w:val="0"/>
              <w:keepLines w:val="0"/>
              <w:pageBreakBefore w:val="0"/>
              <w:widowControl w:val="0"/>
              <w:kinsoku w:val="0"/>
              <w:wordWrap/>
              <w:overflowPunct/>
              <w:topLinePunct w:val="0"/>
              <w:autoSpaceDE w:val="0"/>
              <w:autoSpaceDN w:val="0"/>
              <w:bidi w:val="0"/>
              <w:adjustRightInd w:val="0"/>
              <w:snapToGrid w:val="0"/>
              <w:spacing w:line="318" w:lineRule="auto"/>
              <w:textAlignment w:val="baseline"/>
              <w:rPr>
                <w:rFonts w:hint="eastAsia" w:ascii="仿宋" w:hAnsi="仿宋" w:eastAsia="仿宋" w:cs="仿宋"/>
                <w:sz w:val="24"/>
                <w:szCs w:val="24"/>
              </w:rPr>
            </w:pPr>
          </w:p>
          <w:p w14:paraId="13C496E6">
            <w:pPr>
              <w:keepNext w:val="0"/>
              <w:keepLines w:val="0"/>
              <w:pageBreakBefore w:val="0"/>
              <w:widowControl w:val="0"/>
              <w:kinsoku w:val="0"/>
              <w:wordWrap/>
              <w:overflowPunct/>
              <w:topLinePunct w:val="0"/>
              <w:autoSpaceDE w:val="0"/>
              <w:autoSpaceDN w:val="0"/>
              <w:bidi w:val="0"/>
              <w:adjustRightInd w:val="0"/>
              <w:snapToGrid w:val="0"/>
              <w:spacing w:line="318" w:lineRule="auto"/>
              <w:textAlignment w:val="baseline"/>
              <w:rPr>
                <w:rFonts w:hint="eastAsia" w:ascii="仿宋" w:hAnsi="仿宋" w:eastAsia="仿宋" w:cs="仿宋"/>
                <w:sz w:val="24"/>
                <w:szCs w:val="24"/>
              </w:rPr>
            </w:pPr>
          </w:p>
          <w:p w14:paraId="3356353F">
            <w:pPr>
              <w:pStyle w:val="20"/>
              <w:keepNext w:val="0"/>
              <w:keepLines w:val="0"/>
              <w:pageBreakBefore w:val="0"/>
              <w:widowControl w:val="0"/>
              <w:kinsoku w:val="0"/>
              <w:wordWrap/>
              <w:overflowPunct/>
              <w:topLinePunct w:val="0"/>
              <w:autoSpaceDE w:val="0"/>
              <w:autoSpaceDN w:val="0"/>
              <w:bidi w:val="0"/>
              <w:adjustRightInd w:val="0"/>
              <w:snapToGrid w:val="0"/>
              <w:spacing w:before="62" w:line="219" w:lineRule="auto"/>
              <w:ind w:left="77"/>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三、绿化管理</w:t>
            </w:r>
          </w:p>
          <w:p w14:paraId="3923B7E1">
            <w:pPr>
              <w:pStyle w:val="20"/>
              <w:keepNext w:val="0"/>
              <w:keepLines w:val="0"/>
              <w:pageBreakBefore w:val="0"/>
              <w:widowControl w:val="0"/>
              <w:kinsoku w:val="0"/>
              <w:wordWrap/>
              <w:overflowPunct/>
              <w:topLinePunct w:val="0"/>
              <w:autoSpaceDE w:val="0"/>
              <w:autoSpaceDN w:val="0"/>
              <w:bidi w:val="0"/>
              <w:adjustRightInd w:val="0"/>
              <w:snapToGrid w:val="0"/>
              <w:spacing w:before="47" w:line="220" w:lineRule="auto"/>
              <w:ind w:left="355"/>
              <w:textAlignment w:val="baseline"/>
              <w:rPr>
                <w:rFonts w:hint="eastAsia" w:ascii="仿宋" w:hAnsi="仿宋" w:eastAsia="仿宋" w:cs="仿宋"/>
                <w:sz w:val="24"/>
                <w:szCs w:val="24"/>
              </w:rPr>
            </w:pPr>
            <w:r>
              <w:rPr>
                <w:rFonts w:hint="eastAsia" w:ascii="仿宋" w:hAnsi="仿宋" w:eastAsia="仿宋" w:cs="仿宋"/>
                <w:spacing w:val="8"/>
                <w:sz w:val="24"/>
                <w:szCs w:val="24"/>
              </w:rPr>
              <w:t>(10分)</w:t>
            </w:r>
          </w:p>
        </w:tc>
        <w:tc>
          <w:tcPr>
            <w:tcW w:w="6960" w:type="dxa"/>
            <w:vAlign w:val="top"/>
          </w:tcPr>
          <w:p w14:paraId="77701599">
            <w:pPr>
              <w:pStyle w:val="20"/>
              <w:keepNext w:val="0"/>
              <w:keepLines w:val="0"/>
              <w:pageBreakBefore w:val="0"/>
              <w:widowControl w:val="0"/>
              <w:kinsoku w:val="0"/>
              <w:wordWrap/>
              <w:overflowPunct/>
              <w:topLinePunct w:val="0"/>
              <w:autoSpaceDE w:val="0"/>
              <w:autoSpaceDN w:val="0"/>
              <w:bidi w:val="0"/>
              <w:adjustRightInd w:val="0"/>
              <w:snapToGrid w:val="0"/>
              <w:spacing w:before="64"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1.浇水：保持植物应有的水分、浇水时地面无明显积水。</w:t>
            </w:r>
          </w:p>
        </w:tc>
        <w:tc>
          <w:tcPr>
            <w:tcW w:w="900" w:type="dxa"/>
            <w:vAlign w:val="top"/>
          </w:tcPr>
          <w:p w14:paraId="675083C2">
            <w:pPr>
              <w:pStyle w:val="20"/>
              <w:keepNext w:val="0"/>
              <w:keepLines w:val="0"/>
              <w:pageBreakBefore w:val="0"/>
              <w:widowControl w:val="0"/>
              <w:kinsoku w:val="0"/>
              <w:wordWrap/>
              <w:overflowPunct/>
              <w:topLinePunct w:val="0"/>
              <w:autoSpaceDE w:val="0"/>
              <w:autoSpaceDN w:val="0"/>
              <w:bidi w:val="0"/>
              <w:adjustRightInd w:val="0"/>
              <w:snapToGrid w:val="0"/>
              <w:spacing w:before="113" w:line="181"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95" w:type="dxa"/>
            <w:vAlign w:val="top"/>
          </w:tcPr>
          <w:p w14:paraId="75C79FB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6B30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25" w:type="dxa"/>
            <w:vMerge w:val="continue"/>
            <w:tcBorders>
              <w:top w:val="nil"/>
              <w:bottom w:val="nil"/>
            </w:tcBorders>
            <w:vAlign w:val="top"/>
          </w:tcPr>
          <w:p w14:paraId="68AE5070">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5596D1B6">
            <w:pPr>
              <w:pStyle w:val="20"/>
              <w:keepNext w:val="0"/>
              <w:keepLines w:val="0"/>
              <w:pageBreakBefore w:val="0"/>
              <w:widowControl w:val="0"/>
              <w:kinsoku w:val="0"/>
              <w:wordWrap/>
              <w:overflowPunct/>
              <w:topLinePunct w:val="0"/>
              <w:autoSpaceDE w:val="0"/>
              <w:autoSpaceDN w:val="0"/>
              <w:bidi w:val="0"/>
              <w:adjustRightInd w:val="0"/>
              <w:snapToGrid w:val="0"/>
              <w:spacing w:before="35"/>
              <w:ind w:left="51" w:firstLine="29"/>
              <w:textAlignment w:val="baseline"/>
              <w:rPr>
                <w:rFonts w:hint="eastAsia" w:ascii="仿宋" w:hAnsi="仿宋" w:eastAsia="仿宋" w:cs="仿宋"/>
                <w:sz w:val="24"/>
                <w:szCs w:val="24"/>
              </w:rPr>
            </w:pPr>
            <w:r>
              <w:rPr>
                <w:rFonts w:hint="eastAsia" w:ascii="仿宋" w:hAnsi="仿宋" w:eastAsia="仿宋" w:cs="仿宋"/>
                <w:spacing w:val="-2"/>
                <w:sz w:val="24"/>
                <w:szCs w:val="24"/>
              </w:rPr>
              <w:t>2.修剪：修剪及时，植株长势茂盛，树冠丰满、培养定干分叉，无</w:t>
            </w:r>
            <w:r>
              <w:rPr>
                <w:rFonts w:hint="eastAsia" w:ascii="仿宋" w:hAnsi="仿宋" w:eastAsia="仿宋" w:cs="仿宋"/>
                <w:sz w:val="24"/>
                <w:szCs w:val="24"/>
              </w:rPr>
              <w:t>枯枝烂头。</w:t>
            </w:r>
          </w:p>
        </w:tc>
        <w:tc>
          <w:tcPr>
            <w:tcW w:w="900" w:type="dxa"/>
            <w:vAlign w:val="top"/>
          </w:tcPr>
          <w:p w14:paraId="0CD773AC">
            <w:pPr>
              <w:pStyle w:val="20"/>
              <w:keepNext w:val="0"/>
              <w:keepLines w:val="0"/>
              <w:pageBreakBefore w:val="0"/>
              <w:widowControl w:val="0"/>
              <w:kinsoku w:val="0"/>
              <w:wordWrap/>
              <w:overflowPunct/>
              <w:topLinePunct w:val="0"/>
              <w:autoSpaceDE w:val="0"/>
              <w:autoSpaceDN w:val="0"/>
              <w:bidi w:val="0"/>
              <w:adjustRightInd w:val="0"/>
              <w:snapToGrid w:val="0"/>
              <w:spacing w:before="233"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95" w:type="dxa"/>
            <w:vAlign w:val="top"/>
          </w:tcPr>
          <w:p w14:paraId="7A37A1AD">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3E4F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25" w:type="dxa"/>
            <w:vMerge w:val="continue"/>
            <w:tcBorders>
              <w:top w:val="nil"/>
              <w:bottom w:val="nil"/>
            </w:tcBorders>
            <w:vAlign w:val="top"/>
          </w:tcPr>
          <w:p w14:paraId="41A0C96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2549DF2">
            <w:pPr>
              <w:pStyle w:val="20"/>
              <w:keepNext w:val="0"/>
              <w:keepLines w:val="0"/>
              <w:pageBreakBefore w:val="0"/>
              <w:widowControl w:val="0"/>
              <w:kinsoku w:val="0"/>
              <w:wordWrap/>
              <w:overflowPunct/>
              <w:topLinePunct w:val="0"/>
              <w:autoSpaceDE w:val="0"/>
              <w:autoSpaceDN w:val="0"/>
              <w:bidi w:val="0"/>
              <w:adjustRightInd w:val="0"/>
              <w:snapToGrid w:val="0"/>
              <w:spacing w:before="64"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3.施肥：施肥及时，植物生长旺盛，花卉及时开花。</w:t>
            </w:r>
          </w:p>
        </w:tc>
        <w:tc>
          <w:tcPr>
            <w:tcW w:w="900" w:type="dxa"/>
            <w:vAlign w:val="top"/>
          </w:tcPr>
          <w:p w14:paraId="5ADCDDDF">
            <w:pPr>
              <w:pStyle w:val="20"/>
              <w:keepNext w:val="0"/>
              <w:keepLines w:val="0"/>
              <w:pageBreakBefore w:val="0"/>
              <w:widowControl w:val="0"/>
              <w:kinsoku w:val="0"/>
              <w:wordWrap/>
              <w:overflowPunct/>
              <w:topLinePunct w:val="0"/>
              <w:autoSpaceDE w:val="0"/>
              <w:autoSpaceDN w:val="0"/>
              <w:bidi w:val="0"/>
              <w:adjustRightInd w:val="0"/>
              <w:snapToGrid w:val="0"/>
              <w:spacing w:before="114" w:line="180"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95" w:type="dxa"/>
            <w:vAlign w:val="top"/>
          </w:tcPr>
          <w:p w14:paraId="31D6EAC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19DB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25" w:type="dxa"/>
            <w:vMerge w:val="continue"/>
            <w:tcBorders>
              <w:top w:val="nil"/>
              <w:bottom w:val="nil"/>
            </w:tcBorders>
            <w:vAlign w:val="top"/>
          </w:tcPr>
          <w:p w14:paraId="2FABAC2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490259C5">
            <w:pPr>
              <w:pStyle w:val="20"/>
              <w:keepNext w:val="0"/>
              <w:keepLines w:val="0"/>
              <w:pageBreakBefore w:val="0"/>
              <w:widowControl w:val="0"/>
              <w:kinsoku w:val="0"/>
              <w:wordWrap/>
              <w:overflowPunct/>
              <w:topLinePunct w:val="0"/>
              <w:autoSpaceDE w:val="0"/>
              <w:autoSpaceDN w:val="0"/>
              <w:bidi w:val="0"/>
              <w:adjustRightInd w:val="0"/>
              <w:snapToGrid w:val="0"/>
              <w:spacing w:before="76" w:line="219"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4.病虫害防治：植物长势健壮，保持应有的观赏状态，无病虫害。</w:t>
            </w:r>
          </w:p>
        </w:tc>
        <w:tc>
          <w:tcPr>
            <w:tcW w:w="900" w:type="dxa"/>
            <w:vAlign w:val="top"/>
          </w:tcPr>
          <w:p w14:paraId="3F1ECC73">
            <w:pPr>
              <w:pStyle w:val="20"/>
              <w:keepNext w:val="0"/>
              <w:keepLines w:val="0"/>
              <w:pageBreakBefore w:val="0"/>
              <w:widowControl w:val="0"/>
              <w:kinsoku w:val="0"/>
              <w:wordWrap/>
              <w:overflowPunct/>
              <w:topLinePunct w:val="0"/>
              <w:autoSpaceDE w:val="0"/>
              <w:autoSpaceDN w:val="0"/>
              <w:bidi w:val="0"/>
              <w:adjustRightInd w:val="0"/>
              <w:snapToGrid w:val="0"/>
              <w:spacing w:before="124"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95" w:type="dxa"/>
            <w:vAlign w:val="top"/>
          </w:tcPr>
          <w:p w14:paraId="65D14A0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C6D7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25" w:type="dxa"/>
            <w:vMerge w:val="continue"/>
            <w:tcBorders>
              <w:top w:val="nil"/>
            </w:tcBorders>
            <w:vAlign w:val="top"/>
          </w:tcPr>
          <w:p w14:paraId="4457AA9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07B5F752">
            <w:pPr>
              <w:pStyle w:val="20"/>
              <w:keepNext w:val="0"/>
              <w:keepLines w:val="0"/>
              <w:pageBreakBefore w:val="0"/>
              <w:widowControl w:val="0"/>
              <w:kinsoku w:val="0"/>
              <w:wordWrap/>
              <w:overflowPunct/>
              <w:topLinePunct w:val="0"/>
              <w:autoSpaceDE w:val="0"/>
              <w:autoSpaceDN w:val="0"/>
              <w:bidi w:val="0"/>
              <w:adjustRightInd w:val="0"/>
              <w:snapToGrid w:val="0"/>
              <w:spacing w:before="76"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5.养护：养护地块整洁，杂草及时清除，无明显杂草。</w:t>
            </w:r>
          </w:p>
        </w:tc>
        <w:tc>
          <w:tcPr>
            <w:tcW w:w="900" w:type="dxa"/>
            <w:vAlign w:val="top"/>
          </w:tcPr>
          <w:p w14:paraId="6EA4B7F2">
            <w:pPr>
              <w:pStyle w:val="20"/>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95" w:type="dxa"/>
            <w:vAlign w:val="top"/>
          </w:tcPr>
          <w:p w14:paraId="141BE6B8">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574A6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25" w:type="dxa"/>
            <w:vMerge w:val="restart"/>
            <w:tcBorders>
              <w:bottom w:val="nil"/>
            </w:tcBorders>
            <w:vAlign w:val="top"/>
          </w:tcPr>
          <w:p w14:paraId="177DDF0C">
            <w:pPr>
              <w:keepNext w:val="0"/>
              <w:keepLines w:val="0"/>
              <w:pageBreakBefore w:val="0"/>
              <w:widowControl w:val="0"/>
              <w:kinsoku w:val="0"/>
              <w:wordWrap/>
              <w:overflowPunct/>
              <w:topLinePunct w:val="0"/>
              <w:autoSpaceDE w:val="0"/>
              <w:autoSpaceDN w:val="0"/>
              <w:bidi w:val="0"/>
              <w:adjustRightInd w:val="0"/>
              <w:snapToGrid w:val="0"/>
              <w:spacing w:line="253" w:lineRule="auto"/>
              <w:textAlignment w:val="baseline"/>
              <w:rPr>
                <w:rFonts w:hint="eastAsia" w:ascii="仿宋" w:hAnsi="仿宋" w:eastAsia="仿宋" w:cs="仿宋"/>
                <w:b/>
                <w:bCs/>
                <w:sz w:val="24"/>
                <w:szCs w:val="24"/>
              </w:rPr>
            </w:pPr>
          </w:p>
          <w:p w14:paraId="1A08900D">
            <w:pPr>
              <w:pStyle w:val="20"/>
              <w:keepNext w:val="0"/>
              <w:keepLines w:val="0"/>
              <w:pageBreakBefore w:val="0"/>
              <w:widowControl w:val="0"/>
              <w:kinsoku w:val="0"/>
              <w:wordWrap/>
              <w:overflowPunct/>
              <w:topLinePunct w:val="0"/>
              <w:autoSpaceDE w:val="0"/>
              <w:autoSpaceDN w:val="0"/>
              <w:bidi w:val="0"/>
              <w:adjustRightInd w:val="0"/>
              <w:snapToGrid w:val="0"/>
              <w:spacing w:before="61" w:line="239" w:lineRule="auto"/>
              <w:ind w:left="164" w:right="64" w:hanging="89"/>
              <w:textAlignment w:val="baseline"/>
              <w:rPr>
                <w:rFonts w:hint="eastAsia" w:ascii="仿宋" w:hAnsi="仿宋" w:eastAsia="仿宋" w:cs="仿宋"/>
                <w:sz w:val="24"/>
                <w:szCs w:val="24"/>
              </w:rPr>
            </w:pPr>
            <w:r>
              <w:rPr>
                <w:rFonts w:hint="eastAsia" w:ascii="仿宋" w:hAnsi="仿宋" w:eastAsia="仿宋" w:cs="仿宋"/>
                <w:b/>
                <w:bCs/>
                <w:spacing w:val="2"/>
                <w:sz w:val="24"/>
                <w:szCs w:val="24"/>
              </w:rPr>
              <w:t>四、水电维护</w:t>
            </w:r>
            <w:r>
              <w:rPr>
                <w:rFonts w:hint="eastAsia" w:ascii="仿宋" w:hAnsi="仿宋" w:eastAsia="仿宋" w:cs="仿宋"/>
                <w:b/>
                <w:bCs/>
                <w:spacing w:val="5"/>
                <w:sz w:val="24"/>
                <w:szCs w:val="24"/>
              </w:rPr>
              <w:t>管理(20分)</w:t>
            </w:r>
          </w:p>
        </w:tc>
        <w:tc>
          <w:tcPr>
            <w:tcW w:w="6960" w:type="dxa"/>
            <w:vAlign w:val="top"/>
          </w:tcPr>
          <w:p w14:paraId="79BE627E">
            <w:pPr>
              <w:pStyle w:val="20"/>
              <w:keepNext w:val="0"/>
              <w:keepLines w:val="0"/>
              <w:pageBreakBefore w:val="0"/>
              <w:widowControl w:val="0"/>
              <w:kinsoku w:val="0"/>
              <w:wordWrap/>
              <w:overflowPunct/>
              <w:topLinePunct w:val="0"/>
              <w:autoSpaceDE w:val="0"/>
              <w:autoSpaceDN w:val="0"/>
              <w:bidi w:val="0"/>
              <w:adjustRightInd w:val="0"/>
              <w:snapToGrid w:val="0"/>
              <w:spacing w:before="94"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1.建立日供水供电系统巡查制度，记录完整</w:t>
            </w:r>
          </w:p>
        </w:tc>
        <w:tc>
          <w:tcPr>
            <w:tcW w:w="900" w:type="dxa"/>
            <w:vAlign w:val="top"/>
          </w:tcPr>
          <w:p w14:paraId="4E5C199A">
            <w:pPr>
              <w:pStyle w:val="20"/>
              <w:keepNext w:val="0"/>
              <w:keepLines w:val="0"/>
              <w:pageBreakBefore w:val="0"/>
              <w:widowControl w:val="0"/>
              <w:kinsoku w:val="0"/>
              <w:wordWrap/>
              <w:overflowPunct/>
              <w:topLinePunct w:val="0"/>
              <w:autoSpaceDE w:val="0"/>
              <w:autoSpaceDN w:val="0"/>
              <w:bidi w:val="0"/>
              <w:adjustRightInd w:val="0"/>
              <w:snapToGrid w:val="0"/>
              <w:spacing w:before="144"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795" w:type="dxa"/>
            <w:vAlign w:val="top"/>
          </w:tcPr>
          <w:p w14:paraId="30299748">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B2D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25" w:type="dxa"/>
            <w:vMerge w:val="continue"/>
            <w:tcBorders>
              <w:top w:val="nil"/>
              <w:bottom w:val="nil"/>
            </w:tcBorders>
            <w:vAlign w:val="top"/>
          </w:tcPr>
          <w:p w14:paraId="378E8787">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731C2C6C">
            <w:pPr>
              <w:pStyle w:val="20"/>
              <w:keepNext w:val="0"/>
              <w:keepLines w:val="0"/>
              <w:pageBreakBefore w:val="0"/>
              <w:widowControl w:val="0"/>
              <w:kinsoku w:val="0"/>
              <w:wordWrap/>
              <w:overflowPunct/>
              <w:topLinePunct w:val="0"/>
              <w:autoSpaceDE w:val="0"/>
              <w:autoSpaceDN w:val="0"/>
              <w:bidi w:val="0"/>
              <w:adjustRightInd w:val="0"/>
              <w:snapToGrid w:val="0"/>
              <w:spacing w:before="76"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2.设备设施故障处置及时，</w:t>
            </w:r>
          </w:p>
        </w:tc>
        <w:tc>
          <w:tcPr>
            <w:tcW w:w="900" w:type="dxa"/>
            <w:vAlign w:val="top"/>
          </w:tcPr>
          <w:p w14:paraId="3AA3582A">
            <w:pPr>
              <w:pStyle w:val="20"/>
              <w:keepNext w:val="0"/>
              <w:keepLines w:val="0"/>
              <w:pageBreakBefore w:val="0"/>
              <w:widowControl w:val="0"/>
              <w:kinsoku w:val="0"/>
              <w:wordWrap/>
              <w:overflowPunct/>
              <w:topLinePunct w:val="0"/>
              <w:autoSpaceDE w:val="0"/>
              <w:autoSpaceDN w:val="0"/>
              <w:bidi w:val="0"/>
              <w:adjustRightInd w:val="0"/>
              <w:snapToGrid w:val="0"/>
              <w:spacing w:before="125"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795" w:type="dxa"/>
            <w:vAlign w:val="top"/>
          </w:tcPr>
          <w:p w14:paraId="7583008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4A25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25" w:type="dxa"/>
            <w:vMerge w:val="continue"/>
            <w:tcBorders>
              <w:top w:val="nil"/>
            </w:tcBorders>
            <w:vAlign w:val="top"/>
          </w:tcPr>
          <w:p w14:paraId="0BA9A98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6960" w:type="dxa"/>
            <w:vAlign w:val="top"/>
          </w:tcPr>
          <w:p w14:paraId="5D20558B">
            <w:pPr>
              <w:pStyle w:val="20"/>
              <w:keepNext w:val="0"/>
              <w:keepLines w:val="0"/>
              <w:pageBreakBefore w:val="0"/>
              <w:widowControl w:val="0"/>
              <w:kinsoku w:val="0"/>
              <w:wordWrap/>
              <w:overflowPunct/>
              <w:topLinePunct w:val="0"/>
              <w:autoSpaceDE w:val="0"/>
              <w:autoSpaceDN w:val="0"/>
              <w:bidi w:val="0"/>
              <w:adjustRightInd w:val="0"/>
              <w:snapToGrid w:val="0"/>
              <w:spacing w:before="76" w:line="219" w:lineRule="auto"/>
              <w:ind w:left="51"/>
              <w:textAlignment w:val="baseline"/>
              <w:rPr>
                <w:rFonts w:hint="eastAsia" w:ascii="仿宋" w:hAnsi="仿宋" w:eastAsia="仿宋" w:cs="仿宋"/>
                <w:sz w:val="24"/>
                <w:szCs w:val="24"/>
              </w:rPr>
            </w:pPr>
            <w:r>
              <w:rPr>
                <w:rFonts w:hint="eastAsia" w:ascii="仿宋" w:hAnsi="仿宋" w:eastAsia="仿宋" w:cs="仿宋"/>
                <w:sz w:val="24"/>
                <w:szCs w:val="24"/>
              </w:rPr>
              <w:t>3.维修人员持证上岗，操作规范。</w:t>
            </w:r>
          </w:p>
        </w:tc>
        <w:tc>
          <w:tcPr>
            <w:tcW w:w="900" w:type="dxa"/>
            <w:vAlign w:val="top"/>
          </w:tcPr>
          <w:p w14:paraId="73129531">
            <w:pPr>
              <w:pStyle w:val="20"/>
              <w:keepNext w:val="0"/>
              <w:keepLines w:val="0"/>
              <w:pageBreakBefore w:val="0"/>
              <w:widowControl w:val="0"/>
              <w:kinsoku w:val="0"/>
              <w:wordWrap/>
              <w:overflowPunct/>
              <w:topLinePunct w:val="0"/>
              <w:autoSpaceDE w:val="0"/>
              <w:autoSpaceDN w:val="0"/>
              <w:bidi w:val="0"/>
              <w:adjustRightInd w:val="0"/>
              <w:snapToGrid w:val="0"/>
              <w:spacing w:before="125" w:line="183" w:lineRule="auto"/>
              <w:ind w:left="337"/>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795" w:type="dxa"/>
            <w:vAlign w:val="top"/>
          </w:tcPr>
          <w:p w14:paraId="135DE695">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07A7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425" w:type="dxa"/>
            <w:vAlign w:val="top"/>
          </w:tcPr>
          <w:p w14:paraId="65C4DD00">
            <w:pPr>
              <w:pStyle w:val="20"/>
              <w:keepNext w:val="0"/>
              <w:keepLines w:val="0"/>
              <w:pageBreakBefore w:val="0"/>
              <w:widowControl w:val="0"/>
              <w:kinsoku w:val="0"/>
              <w:wordWrap/>
              <w:overflowPunct/>
              <w:topLinePunct w:val="0"/>
              <w:autoSpaceDE w:val="0"/>
              <w:autoSpaceDN w:val="0"/>
              <w:bidi w:val="0"/>
              <w:adjustRightInd w:val="0"/>
              <w:snapToGrid w:val="0"/>
              <w:spacing w:before="177" w:line="219" w:lineRule="auto"/>
              <w:ind w:left="75"/>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五、奖励加分</w:t>
            </w:r>
          </w:p>
        </w:tc>
        <w:tc>
          <w:tcPr>
            <w:tcW w:w="6960" w:type="dxa"/>
            <w:vAlign w:val="top"/>
          </w:tcPr>
          <w:p w14:paraId="514F2818">
            <w:pPr>
              <w:pStyle w:val="20"/>
              <w:keepNext w:val="0"/>
              <w:keepLines w:val="0"/>
              <w:pageBreakBefore w:val="0"/>
              <w:widowControl w:val="0"/>
              <w:kinsoku w:val="0"/>
              <w:wordWrap/>
              <w:overflowPunct/>
              <w:topLinePunct w:val="0"/>
              <w:autoSpaceDE w:val="0"/>
              <w:autoSpaceDN w:val="0"/>
              <w:bidi w:val="0"/>
              <w:adjustRightInd w:val="0"/>
              <w:snapToGrid w:val="0"/>
              <w:spacing w:before="47" w:line="229" w:lineRule="auto"/>
              <w:ind w:left="81" w:right="139" w:firstLine="10"/>
              <w:textAlignment w:val="baseline"/>
              <w:rPr>
                <w:rFonts w:hint="eastAsia" w:ascii="仿宋" w:hAnsi="仿宋" w:eastAsia="仿宋" w:cs="仿宋"/>
                <w:sz w:val="24"/>
                <w:szCs w:val="24"/>
              </w:rPr>
            </w:pPr>
            <w:r>
              <w:rPr>
                <w:rFonts w:hint="eastAsia" w:ascii="仿宋" w:hAnsi="仿宋" w:eastAsia="仿宋" w:cs="仿宋"/>
                <w:sz w:val="24"/>
                <w:szCs w:val="24"/>
              </w:rPr>
              <w:t>拾金不昧，及时返还，奖2-5分/次；见义勇</w:t>
            </w:r>
            <w:r>
              <w:rPr>
                <w:rFonts w:hint="eastAsia" w:ascii="仿宋" w:hAnsi="仿宋" w:eastAsia="仿宋" w:cs="仿宋"/>
                <w:spacing w:val="-1"/>
                <w:sz w:val="24"/>
                <w:szCs w:val="24"/>
              </w:rPr>
              <w:t>为，事迹突出者，奖</w:t>
            </w:r>
            <w:r>
              <w:rPr>
                <w:rFonts w:hint="eastAsia" w:ascii="仿宋" w:hAnsi="仿宋" w:eastAsia="仿宋" w:cs="仿宋"/>
                <w:sz w:val="24"/>
                <w:szCs w:val="24"/>
              </w:rPr>
              <w:t>2-5分/次；及时制止治安、消防及其它突</w:t>
            </w:r>
            <w:r>
              <w:rPr>
                <w:rFonts w:hint="eastAsia" w:ascii="仿宋" w:hAnsi="仿宋" w:eastAsia="仿宋" w:cs="仿宋"/>
                <w:spacing w:val="-1"/>
                <w:sz w:val="24"/>
                <w:szCs w:val="24"/>
              </w:rPr>
              <w:t>发事件，奖2-5分/次</w:t>
            </w:r>
          </w:p>
        </w:tc>
        <w:tc>
          <w:tcPr>
            <w:tcW w:w="900" w:type="dxa"/>
            <w:vAlign w:val="top"/>
          </w:tcPr>
          <w:p w14:paraId="4DC572A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c>
          <w:tcPr>
            <w:tcW w:w="795" w:type="dxa"/>
            <w:vAlign w:val="top"/>
          </w:tcPr>
          <w:p w14:paraId="53902A5D">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r w14:paraId="41A1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385" w:type="dxa"/>
            <w:gridSpan w:val="2"/>
            <w:vAlign w:val="top"/>
          </w:tcPr>
          <w:p w14:paraId="5E28487A">
            <w:pPr>
              <w:pStyle w:val="20"/>
              <w:keepNext w:val="0"/>
              <w:keepLines w:val="0"/>
              <w:pageBreakBefore w:val="0"/>
              <w:widowControl w:val="0"/>
              <w:kinsoku w:val="0"/>
              <w:wordWrap/>
              <w:overflowPunct/>
              <w:topLinePunct w:val="0"/>
              <w:autoSpaceDE w:val="0"/>
              <w:autoSpaceDN w:val="0"/>
              <w:bidi w:val="0"/>
              <w:adjustRightInd w:val="0"/>
              <w:snapToGrid w:val="0"/>
              <w:spacing w:before="48" w:line="210" w:lineRule="auto"/>
              <w:ind w:left="3234"/>
              <w:textAlignment w:val="baseline"/>
              <w:rPr>
                <w:rFonts w:hint="eastAsia" w:ascii="仿宋" w:hAnsi="仿宋" w:eastAsia="仿宋" w:cs="仿宋"/>
                <w:sz w:val="24"/>
                <w:szCs w:val="24"/>
              </w:rPr>
            </w:pPr>
            <w:r>
              <w:rPr>
                <w:rFonts w:hint="eastAsia" w:ascii="仿宋" w:hAnsi="仿宋" w:eastAsia="仿宋" w:cs="仿宋"/>
                <w:spacing w:val="-3"/>
                <w:sz w:val="24"/>
                <w:szCs w:val="24"/>
              </w:rPr>
              <w:t>合计</w:t>
            </w:r>
          </w:p>
        </w:tc>
        <w:tc>
          <w:tcPr>
            <w:tcW w:w="900" w:type="dxa"/>
            <w:vAlign w:val="top"/>
          </w:tcPr>
          <w:p w14:paraId="67DC5ED9">
            <w:pPr>
              <w:pStyle w:val="20"/>
              <w:keepNext w:val="0"/>
              <w:keepLines w:val="0"/>
              <w:pageBreakBefore w:val="0"/>
              <w:widowControl w:val="0"/>
              <w:kinsoku w:val="0"/>
              <w:wordWrap/>
              <w:overflowPunct/>
              <w:topLinePunct w:val="0"/>
              <w:autoSpaceDE w:val="0"/>
              <w:autoSpaceDN w:val="0"/>
              <w:bidi w:val="0"/>
              <w:adjustRightInd w:val="0"/>
              <w:snapToGrid w:val="0"/>
              <w:spacing w:before="96" w:line="164" w:lineRule="auto"/>
              <w:ind w:left="248"/>
              <w:textAlignment w:val="baseline"/>
              <w:rPr>
                <w:rFonts w:hint="eastAsia" w:ascii="仿宋" w:hAnsi="仿宋" w:eastAsia="仿宋" w:cs="仿宋"/>
                <w:sz w:val="24"/>
                <w:szCs w:val="24"/>
              </w:rPr>
            </w:pPr>
            <w:r>
              <w:rPr>
                <w:rFonts w:hint="eastAsia" w:ascii="仿宋" w:hAnsi="仿宋" w:eastAsia="仿宋" w:cs="仿宋"/>
                <w:spacing w:val="-5"/>
                <w:sz w:val="24"/>
                <w:szCs w:val="24"/>
              </w:rPr>
              <w:t>100</w:t>
            </w:r>
          </w:p>
        </w:tc>
        <w:tc>
          <w:tcPr>
            <w:tcW w:w="795" w:type="dxa"/>
            <w:vAlign w:val="top"/>
          </w:tcPr>
          <w:p w14:paraId="1701B20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sz w:val="24"/>
                <w:szCs w:val="24"/>
              </w:rPr>
            </w:pPr>
          </w:p>
        </w:tc>
      </w:tr>
    </w:tbl>
    <w:p w14:paraId="07C910F1">
      <w:pPr>
        <w:pStyle w:val="5"/>
        <w:keepNext w:val="0"/>
        <w:keepLines w:val="0"/>
        <w:pageBreakBefore w:val="0"/>
        <w:widowControl w:val="0"/>
        <w:kinsoku w:val="0"/>
        <w:wordWrap/>
        <w:overflowPunct/>
        <w:topLinePunct w:val="0"/>
        <w:autoSpaceDE w:val="0"/>
        <w:autoSpaceDN w:val="0"/>
        <w:bidi w:val="0"/>
        <w:adjustRightInd w:val="0"/>
        <w:snapToGrid w:val="0"/>
        <w:spacing w:before="201" w:line="229" w:lineRule="auto"/>
        <w:ind w:firstLine="588" w:firstLineChars="200"/>
        <w:textAlignment w:val="baseline"/>
        <w:rPr>
          <w:sz w:val="24"/>
          <w:szCs w:val="24"/>
        </w:rPr>
      </w:pPr>
      <w:r>
        <w:rPr>
          <w:spacing w:val="27"/>
          <w:position w:val="1"/>
          <w:sz w:val="24"/>
          <w:szCs w:val="24"/>
        </w:rPr>
        <w:t>学校考核人(签名):</w:t>
      </w:r>
      <w:r>
        <w:rPr>
          <w:rFonts w:hint="eastAsia"/>
          <w:spacing w:val="27"/>
          <w:position w:val="1"/>
          <w:sz w:val="24"/>
          <w:szCs w:val="24"/>
          <w:lang w:val="en-US" w:eastAsia="zh-CN"/>
        </w:rPr>
        <w:t xml:space="preserve">               </w:t>
      </w:r>
      <w:r>
        <w:rPr>
          <w:spacing w:val="27"/>
          <w:sz w:val="24"/>
          <w:szCs w:val="24"/>
        </w:rPr>
        <w:t>服务单位负责人(签名):</w:t>
      </w:r>
    </w:p>
    <w:p w14:paraId="3059D226">
      <w:pPr>
        <w:pStyle w:val="5"/>
        <w:keepNext w:val="0"/>
        <w:keepLines w:val="0"/>
        <w:pageBreakBefore w:val="0"/>
        <w:widowControl w:val="0"/>
        <w:kinsoku w:val="0"/>
        <w:wordWrap/>
        <w:overflowPunct/>
        <w:topLinePunct w:val="0"/>
        <w:autoSpaceDE w:val="0"/>
        <w:autoSpaceDN w:val="0"/>
        <w:bidi w:val="0"/>
        <w:adjustRightInd w:val="0"/>
        <w:snapToGrid w:val="0"/>
        <w:spacing w:before="122" w:line="222" w:lineRule="auto"/>
        <w:ind w:left="4463" w:firstLine="1356" w:firstLineChars="600"/>
        <w:textAlignment w:val="baseline"/>
        <w:rPr>
          <w:rFonts w:hint="eastAsia" w:eastAsia="仿宋"/>
          <w:sz w:val="24"/>
          <w:szCs w:val="24"/>
          <w:lang w:eastAsia="zh-CN"/>
        </w:rPr>
        <w:sectPr>
          <w:pgSz w:w="11910" w:h="16840"/>
          <w:pgMar w:top="1440" w:right="1080" w:bottom="1440" w:left="1080" w:header="0" w:footer="0" w:gutter="0"/>
          <w:cols w:space="720" w:num="1"/>
        </w:sectPr>
      </w:pPr>
      <w:r>
        <w:rPr>
          <w:spacing w:val="-7"/>
          <w:sz w:val="24"/>
          <w:szCs w:val="24"/>
        </w:rPr>
        <w:t>时间：</w:t>
      </w:r>
      <w:r>
        <w:rPr>
          <w:rFonts w:hint="eastAsia"/>
          <w:spacing w:val="-7"/>
          <w:sz w:val="24"/>
          <w:szCs w:val="24"/>
          <w:lang w:val="en-US" w:eastAsia="zh-CN"/>
        </w:rPr>
        <w:t xml:space="preserve">  </w:t>
      </w:r>
      <w:r>
        <w:rPr>
          <w:spacing w:val="-7"/>
          <w:sz w:val="24"/>
          <w:szCs w:val="24"/>
        </w:rPr>
        <w:t>年</w:t>
      </w:r>
      <w:r>
        <w:rPr>
          <w:rFonts w:hint="eastAsia"/>
          <w:spacing w:val="-7"/>
          <w:sz w:val="24"/>
          <w:szCs w:val="24"/>
          <w:lang w:val="en-US" w:eastAsia="zh-CN"/>
        </w:rPr>
        <w:t xml:space="preserve">  </w:t>
      </w:r>
      <w:r>
        <w:rPr>
          <w:spacing w:val="-7"/>
          <w:sz w:val="24"/>
          <w:szCs w:val="24"/>
        </w:rPr>
        <w:t>月</w:t>
      </w:r>
    </w:p>
    <w:p w14:paraId="048EFA7B">
      <w:pPr>
        <w:pStyle w:val="5"/>
        <w:keepNext w:val="0"/>
        <w:keepLines w:val="0"/>
        <w:pageBreakBefore w:val="0"/>
        <w:widowControl w:val="0"/>
        <w:kinsoku w:val="0"/>
        <w:wordWrap/>
        <w:overflowPunct/>
        <w:topLinePunct w:val="0"/>
        <w:autoSpaceDE w:val="0"/>
        <w:autoSpaceDN w:val="0"/>
        <w:bidi w:val="0"/>
        <w:adjustRightInd w:val="0"/>
        <w:snapToGrid w:val="0"/>
        <w:spacing w:before="78" w:line="231" w:lineRule="auto"/>
        <w:textAlignment w:val="baseline"/>
        <w:rPr>
          <w:rFonts w:hint="eastAsia" w:eastAsia="仿宋"/>
          <w:spacing w:val="7"/>
          <w:position w:val="-3"/>
          <w:lang w:val="en-US" w:eastAsia="zh-CN"/>
        </w:rPr>
      </w:pPr>
      <w:r>
        <w:rPr>
          <w:rFonts w:hint="eastAsia" w:ascii="仿宋" w:hAnsi="仿宋" w:eastAsia="仿宋" w:cs="仿宋"/>
          <w:spacing w:val="-4"/>
          <w:position w:val="-3"/>
          <w:sz w:val="24"/>
          <w:szCs w:val="24"/>
        </w:rPr>
        <w:t>表二、</w:t>
      </w:r>
    </w:p>
    <w:p w14:paraId="3AB9C2A0">
      <w:pPr>
        <w:pStyle w:val="5"/>
        <w:keepNext w:val="0"/>
        <w:keepLines w:val="0"/>
        <w:pageBreakBefore w:val="0"/>
        <w:widowControl w:val="0"/>
        <w:kinsoku w:val="0"/>
        <w:wordWrap/>
        <w:overflowPunct/>
        <w:topLinePunct w:val="0"/>
        <w:autoSpaceDE w:val="0"/>
        <w:autoSpaceDN w:val="0"/>
        <w:bidi w:val="0"/>
        <w:adjustRightInd w:val="0"/>
        <w:snapToGrid w:val="0"/>
        <w:spacing w:before="78" w:line="231" w:lineRule="auto"/>
        <w:jc w:val="center"/>
        <w:textAlignment w:val="baseline"/>
        <w:rPr>
          <w:rFonts w:hint="eastAsia" w:eastAsia="仿宋"/>
          <w:sz w:val="28"/>
          <w:szCs w:val="28"/>
          <w:lang w:eastAsia="zh-CN"/>
        </w:rPr>
      </w:pPr>
      <w:r>
        <w:rPr>
          <w:b/>
          <w:bCs/>
          <w:spacing w:val="-4"/>
          <w:sz w:val="28"/>
          <w:szCs w:val="28"/>
        </w:rPr>
        <w:t>广东省粤东技师学院梅州</w:t>
      </w:r>
      <w:r>
        <w:rPr>
          <w:rFonts w:hint="eastAsia"/>
          <w:b/>
          <w:bCs/>
          <w:spacing w:val="-4"/>
          <w:sz w:val="28"/>
          <w:szCs w:val="28"/>
          <w:lang w:val="en-US" w:eastAsia="zh-CN"/>
        </w:rPr>
        <w:t>校区</w:t>
      </w:r>
    </w:p>
    <w:p w14:paraId="405C3AE1">
      <w:pPr>
        <w:pStyle w:val="5"/>
        <w:keepNext w:val="0"/>
        <w:keepLines w:val="0"/>
        <w:pageBreakBefore w:val="0"/>
        <w:widowControl w:val="0"/>
        <w:kinsoku w:val="0"/>
        <w:wordWrap/>
        <w:overflowPunct/>
        <w:topLinePunct w:val="0"/>
        <w:autoSpaceDE w:val="0"/>
        <w:autoSpaceDN w:val="0"/>
        <w:bidi w:val="0"/>
        <w:adjustRightInd w:val="0"/>
        <w:snapToGrid w:val="0"/>
        <w:spacing w:before="52" w:line="220" w:lineRule="auto"/>
        <w:jc w:val="center"/>
        <w:textAlignment w:val="baseline"/>
        <w:rPr>
          <w:sz w:val="28"/>
          <w:szCs w:val="28"/>
        </w:rPr>
      </w:pPr>
      <w:r>
        <w:rPr>
          <w:b/>
          <w:bCs/>
          <w:sz w:val="28"/>
          <w:szCs w:val="28"/>
        </w:rPr>
        <w:t>保洁、绿化及水电维护管理日常检查评分表</w:t>
      </w:r>
    </w:p>
    <w:p w14:paraId="190FFC10">
      <w:pPr>
        <w:keepNext w:val="0"/>
        <w:keepLines w:val="0"/>
        <w:pageBreakBefore w:val="0"/>
        <w:widowControl w:val="0"/>
        <w:kinsoku w:val="0"/>
        <w:wordWrap/>
        <w:overflowPunct/>
        <w:topLinePunct w:val="0"/>
        <w:autoSpaceDE w:val="0"/>
        <w:autoSpaceDN w:val="0"/>
        <w:bidi w:val="0"/>
        <w:adjustRightInd w:val="0"/>
        <w:snapToGrid w:val="0"/>
        <w:spacing w:before="185"/>
        <w:textAlignment w:val="baseline"/>
      </w:pPr>
    </w:p>
    <w:tbl>
      <w:tblPr>
        <w:tblStyle w:val="21"/>
        <w:tblW w:w="96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617"/>
        <w:gridCol w:w="1783"/>
        <w:gridCol w:w="4569"/>
        <w:gridCol w:w="891"/>
        <w:gridCol w:w="864"/>
      </w:tblGrid>
      <w:tr w14:paraId="51E19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52" w:type="dxa"/>
            <w:vAlign w:val="top"/>
          </w:tcPr>
          <w:p w14:paraId="4EBA74C4">
            <w:pPr>
              <w:pStyle w:val="20"/>
              <w:keepNext w:val="0"/>
              <w:keepLines w:val="0"/>
              <w:pageBreakBefore w:val="0"/>
              <w:widowControl w:val="0"/>
              <w:kinsoku w:val="0"/>
              <w:wordWrap/>
              <w:overflowPunct/>
              <w:topLinePunct w:val="0"/>
              <w:autoSpaceDE w:val="0"/>
              <w:autoSpaceDN w:val="0"/>
              <w:bidi w:val="0"/>
              <w:adjustRightInd w:val="0"/>
              <w:snapToGrid w:val="0"/>
              <w:spacing w:before="168" w:line="224" w:lineRule="auto"/>
              <w:ind w:left="215"/>
              <w:textAlignment w:val="baseline"/>
            </w:pPr>
            <w:r>
              <w:rPr>
                <w:spacing w:val="9"/>
              </w:rPr>
              <w:t>地点</w:t>
            </w:r>
          </w:p>
        </w:tc>
        <w:tc>
          <w:tcPr>
            <w:tcW w:w="617" w:type="dxa"/>
            <w:textDirection w:val="tbRlV"/>
            <w:vAlign w:val="top"/>
          </w:tcPr>
          <w:p w14:paraId="6C3B6EF3">
            <w:pPr>
              <w:pStyle w:val="20"/>
              <w:keepNext w:val="0"/>
              <w:keepLines w:val="0"/>
              <w:pageBreakBefore w:val="0"/>
              <w:widowControl w:val="0"/>
              <w:kinsoku w:val="0"/>
              <w:wordWrap/>
              <w:overflowPunct/>
              <w:topLinePunct w:val="0"/>
              <w:autoSpaceDE w:val="0"/>
              <w:autoSpaceDN w:val="0"/>
              <w:bidi w:val="0"/>
              <w:adjustRightInd w:val="0"/>
              <w:snapToGrid w:val="0"/>
              <w:spacing w:before="191" w:line="199" w:lineRule="auto"/>
              <w:ind w:left="44"/>
              <w:textAlignment w:val="baseline"/>
            </w:pPr>
            <w:r>
              <w:t>序号</w:t>
            </w:r>
          </w:p>
        </w:tc>
        <w:tc>
          <w:tcPr>
            <w:tcW w:w="1783" w:type="dxa"/>
            <w:vAlign w:val="top"/>
          </w:tcPr>
          <w:p w14:paraId="5F6539F2">
            <w:pPr>
              <w:pStyle w:val="20"/>
              <w:keepNext w:val="0"/>
              <w:keepLines w:val="0"/>
              <w:pageBreakBefore w:val="0"/>
              <w:widowControl w:val="0"/>
              <w:kinsoku w:val="0"/>
              <w:wordWrap/>
              <w:overflowPunct/>
              <w:topLinePunct w:val="0"/>
              <w:autoSpaceDE w:val="0"/>
              <w:autoSpaceDN w:val="0"/>
              <w:bidi w:val="0"/>
              <w:adjustRightInd w:val="0"/>
              <w:snapToGrid w:val="0"/>
              <w:spacing w:before="163" w:line="219" w:lineRule="auto"/>
              <w:ind w:left="431"/>
              <w:textAlignment w:val="baseline"/>
            </w:pPr>
            <w:r>
              <w:rPr>
                <w:spacing w:val="-2"/>
              </w:rPr>
              <w:t>考核内容</w:t>
            </w:r>
          </w:p>
        </w:tc>
        <w:tc>
          <w:tcPr>
            <w:tcW w:w="4569" w:type="dxa"/>
            <w:vAlign w:val="top"/>
          </w:tcPr>
          <w:p w14:paraId="1E33BA31">
            <w:pPr>
              <w:pStyle w:val="20"/>
              <w:keepNext w:val="0"/>
              <w:keepLines w:val="0"/>
              <w:pageBreakBefore w:val="0"/>
              <w:widowControl w:val="0"/>
              <w:kinsoku w:val="0"/>
              <w:wordWrap/>
              <w:overflowPunct/>
              <w:topLinePunct w:val="0"/>
              <w:autoSpaceDE w:val="0"/>
              <w:autoSpaceDN w:val="0"/>
              <w:bidi w:val="0"/>
              <w:adjustRightInd w:val="0"/>
              <w:snapToGrid w:val="0"/>
              <w:spacing w:before="160" w:line="219" w:lineRule="auto"/>
              <w:ind w:left="1056"/>
              <w:textAlignment w:val="baseline"/>
            </w:pPr>
            <w:r>
              <w:rPr>
                <w:b/>
                <w:bCs/>
              </w:rPr>
              <w:t>考核标准(共100分)</w:t>
            </w:r>
          </w:p>
        </w:tc>
        <w:tc>
          <w:tcPr>
            <w:tcW w:w="891" w:type="dxa"/>
            <w:vAlign w:val="top"/>
          </w:tcPr>
          <w:p w14:paraId="14E74073">
            <w:pPr>
              <w:pStyle w:val="20"/>
              <w:keepNext w:val="0"/>
              <w:keepLines w:val="0"/>
              <w:pageBreakBefore w:val="0"/>
              <w:widowControl w:val="0"/>
              <w:kinsoku w:val="0"/>
              <w:wordWrap/>
              <w:overflowPunct/>
              <w:topLinePunct w:val="0"/>
              <w:autoSpaceDE w:val="0"/>
              <w:autoSpaceDN w:val="0"/>
              <w:bidi w:val="0"/>
              <w:adjustRightInd w:val="0"/>
              <w:snapToGrid w:val="0"/>
              <w:spacing w:before="163" w:line="219" w:lineRule="auto"/>
              <w:ind w:left="218"/>
              <w:textAlignment w:val="baseline"/>
            </w:pPr>
            <w:r>
              <w:rPr>
                <w:spacing w:val="-3"/>
              </w:rPr>
              <w:t>得分</w:t>
            </w:r>
          </w:p>
        </w:tc>
        <w:tc>
          <w:tcPr>
            <w:tcW w:w="864" w:type="dxa"/>
            <w:vAlign w:val="top"/>
          </w:tcPr>
          <w:p w14:paraId="703DDA93">
            <w:pPr>
              <w:pStyle w:val="20"/>
              <w:keepNext w:val="0"/>
              <w:keepLines w:val="0"/>
              <w:pageBreakBefore w:val="0"/>
              <w:widowControl w:val="0"/>
              <w:kinsoku w:val="0"/>
              <w:wordWrap/>
              <w:overflowPunct/>
              <w:topLinePunct w:val="0"/>
              <w:autoSpaceDE w:val="0"/>
              <w:autoSpaceDN w:val="0"/>
              <w:bidi w:val="0"/>
              <w:adjustRightInd w:val="0"/>
              <w:snapToGrid w:val="0"/>
              <w:spacing w:before="164" w:line="221" w:lineRule="auto"/>
              <w:ind w:left="209"/>
              <w:textAlignment w:val="baseline"/>
            </w:pPr>
            <w:r>
              <w:rPr>
                <w:spacing w:val="5"/>
              </w:rPr>
              <w:t>备注</w:t>
            </w:r>
          </w:p>
        </w:tc>
      </w:tr>
      <w:tr w14:paraId="4392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restart"/>
            <w:tcBorders>
              <w:bottom w:val="nil"/>
            </w:tcBorders>
            <w:vAlign w:val="top"/>
          </w:tcPr>
          <w:p w14:paraId="3CD0B2D6">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0BE14564">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143F03F4">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AD3E778">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26CBE6A6">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0FE3DA38">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3EEEDCD">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556403A">
            <w:pPr>
              <w:pStyle w:val="20"/>
              <w:keepNext w:val="0"/>
              <w:keepLines w:val="0"/>
              <w:pageBreakBefore w:val="0"/>
              <w:widowControl w:val="0"/>
              <w:kinsoku w:val="0"/>
              <w:wordWrap/>
              <w:overflowPunct/>
              <w:topLinePunct w:val="0"/>
              <w:autoSpaceDE w:val="0"/>
              <w:autoSpaceDN w:val="0"/>
              <w:bidi w:val="0"/>
              <w:adjustRightInd w:val="0"/>
              <w:snapToGrid w:val="0"/>
              <w:spacing w:before="68" w:line="233" w:lineRule="auto"/>
              <w:ind w:left="264" w:right="100" w:hanging="159"/>
              <w:textAlignment w:val="baseline"/>
            </w:pPr>
            <w:r>
              <w:rPr>
                <w:spacing w:val="6"/>
              </w:rPr>
              <w:t>教学区</w:t>
            </w:r>
            <w:r>
              <w:rPr>
                <w:spacing w:val="-11"/>
              </w:rPr>
              <w:t>(26</w:t>
            </w:r>
          </w:p>
          <w:p w14:paraId="70A8F7C1">
            <w:pPr>
              <w:pStyle w:val="20"/>
              <w:keepNext w:val="0"/>
              <w:keepLines w:val="0"/>
              <w:pageBreakBefore w:val="0"/>
              <w:widowControl w:val="0"/>
              <w:kinsoku w:val="0"/>
              <w:wordWrap/>
              <w:overflowPunct/>
              <w:topLinePunct w:val="0"/>
              <w:autoSpaceDE w:val="0"/>
              <w:autoSpaceDN w:val="0"/>
              <w:bidi w:val="0"/>
              <w:adjustRightInd w:val="0"/>
              <w:snapToGrid w:val="0"/>
              <w:spacing w:line="220" w:lineRule="auto"/>
              <w:ind w:left="264"/>
              <w:textAlignment w:val="baseline"/>
            </w:pPr>
            <w:r>
              <w:rPr>
                <w:spacing w:val="-6"/>
              </w:rPr>
              <w:t>分)</w:t>
            </w:r>
          </w:p>
        </w:tc>
        <w:tc>
          <w:tcPr>
            <w:tcW w:w="617" w:type="dxa"/>
            <w:vAlign w:val="top"/>
          </w:tcPr>
          <w:p w14:paraId="39F1A79B">
            <w:pPr>
              <w:pStyle w:val="20"/>
              <w:keepNext w:val="0"/>
              <w:keepLines w:val="0"/>
              <w:pageBreakBefore w:val="0"/>
              <w:widowControl w:val="0"/>
              <w:kinsoku w:val="0"/>
              <w:wordWrap/>
              <w:overflowPunct/>
              <w:topLinePunct w:val="0"/>
              <w:autoSpaceDE w:val="0"/>
              <w:autoSpaceDN w:val="0"/>
              <w:bidi w:val="0"/>
              <w:adjustRightInd w:val="0"/>
              <w:snapToGrid w:val="0"/>
              <w:spacing w:before="221" w:line="184" w:lineRule="auto"/>
              <w:ind w:left="210"/>
              <w:textAlignment w:val="baseline"/>
            </w:pPr>
            <w:r>
              <w:t>1</w:t>
            </w:r>
          </w:p>
        </w:tc>
        <w:tc>
          <w:tcPr>
            <w:tcW w:w="1783" w:type="dxa"/>
            <w:vAlign w:val="top"/>
          </w:tcPr>
          <w:p w14:paraId="0F8C985D">
            <w:pPr>
              <w:pStyle w:val="20"/>
              <w:keepNext w:val="0"/>
              <w:keepLines w:val="0"/>
              <w:pageBreakBefore w:val="0"/>
              <w:widowControl w:val="0"/>
              <w:kinsoku w:val="0"/>
              <w:wordWrap/>
              <w:overflowPunct/>
              <w:topLinePunct w:val="0"/>
              <w:autoSpaceDE w:val="0"/>
              <w:autoSpaceDN w:val="0"/>
              <w:bidi w:val="0"/>
              <w:adjustRightInd w:val="0"/>
              <w:snapToGrid w:val="0"/>
              <w:spacing w:before="48" w:line="211" w:lineRule="auto"/>
              <w:ind w:left="111" w:right="25" w:firstLine="10"/>
              <w:textAlignment w:val="baseline"/>
            </w:pPr>
            <w:r>
              <w:rPr>
                <w:spacing w:val="-2"/>
              </w:rPr>
              <w:t>地面、墙面、天</w:t>
            </w:r>
            <w:r>
              <w:rPr>
                <w:spacing w:val="3"/>
              </w:rPr>
              <w:t>花、天棚</w:t>
            </w:r>
          </w:p>
        </w:tc>
        <w:tc>
          <w:tcPr>
            <w:tcW w:w="4569" w:type="dxa"/>
            <w:vAlign w:val="top"/>
          </w:tcPr>
          <w:p w14:paraId="7A48F624">
            <w:pPr>
              <w:pStyle w:val="20"/>
              <w:keepNext w:val="0"/>
              <w:keepLines w:val="0"/>
              <w:pageBreakBefore w:val="0"/>
              <w:widowControl w:val="0"/>
              <w:kinsoku w:val="0"/>
              <w:wordWrap/>
              <w:overflowPunct/>
              <w:topLinePunct w:val="0"/>
              <w:autoSpaceDE w:val="0"/>
              <w:autoSpaceDN w:val="0"/>
              <w:bidi w:val="0"/>
              <w:adjustRightInd w:val="0"/>
              <w:snapToGrid w:val="0"/>
              <w:spacing w:before="28" w:line="220" w:lineRule="auto"/>
              <w:ind w:left="103" w:right="120"/>
              <w:textAlignment w:val="baseline"/>
            </w:pPr>
            <w:r>
              <w:rPr>
                <w:spacing w:val="1"/>
              </w:rPr>
              <w:t>保持干净，无垃圾、无杂物、无蛛网各得1</w:t>
            </w:r>
            <w:r>
              <w:rPr>
                <w:spacing w:val="2"/>
              </w:rPr>
              <w:t>分，共4分</w:t>
            </w:r>
          </w:p>
        </w:tc>
        <w:tc>
          <w:tcPr>
            <w:tcW w:w="891" w:type="dxa"/>
            <w:vAlign w:val="top"/>
          </w:tcPr>
          <w:p w14:paraId="104D645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7E8A367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055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52" w:type="dxa"/>
            <w:vMerge w:val="continue"/>
            <w:tcBorders>
              <w:top w:val="nil"/>
              <w:bottom w:val="nil"/>
            </w:tcBorders>
            <w:vAlign w:val="top"/>
          </w:tcPr>
          <w:p w14:paraId="246B2C6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40F645C5">
            <w:pPr>
              <w:pStyle w:val="20"/>
              <w:keepNext w:val="0"/>
              <w:keepLines w:val="0"/>
              <w:pageBreakBefore w:val="0"/>
              <w:widowControl w:val="0"/>
              <w:kinsoku w:val="0"/>
              <w:wordWrap/>
              <w:overflowPunct/>
              <w:topLinePunct w:val="0"/>
              <w:autoSpaceDE w:val="0"/>
              <w:autoSpaceDN w:val="0"/>
              <w:bidi w:val="0"/>
              <w:adjustRightInd w:val="0"/>
              <w:snapToGrid w:val="0"/>
              <w:spacing w:before="213" w:line="183" w:lineRule="auto"/>
              <w:ind w:left="210"/>
              <w:textAlignment w:val="baseline"/>
            </w:pPr>
            <w:r>
              <w:t>2</w:t>
            </w:r>
          </w:p>
        </w:tc>
        <w:tc>
          <w:tcPr>
            <w:tcW w:w="1783" w:type="dxa"/>
            <w:vAlign w:val="top"/>
          </w:tcPr>
          <w:p w14:paraId="0DD06C2E">
            <w:pPr>
              <w:pStyle w:val="20"/>
              <w:keepNext w:val="0"/>
              <w:keepLines w:val="0"/>
              <w:pageBreakBefore w:val="0"/>
              <w:widowControl w:val="0"/>
              <w:kinsoku w:val="0"/>
              <w:wordWrap/>
              <w:overflowPunct/>
              <w:topLinePunct w:val="0"/>
              <w:autoSpaceDE w:val="0"/>
              <w:autoSpaceDN w:val="0"/>
              <w:bidi w:val="0"/>
              <w:adjustRightInd w:val="0"/>
              <w:snapToGrid w:val="0"/>
              <w:spacing w:before="50" w:line="206" w:lineRule="auto"/>
              <w:ind w:left="111" w:right="247"/>
              <w:textAlignment w:val="baseline"/>
            </w:pPr>
            <w:r>
              <w:rPr>
                <w:spacing w:val="-2"/>
              </w:rPr>
              <w:t>指示牌、悬挂牌、宣传栏</w:t>
            </w:r>
          </w:p>
        </w:tc>
        <w:tc>
          <w:tcPr>
            <w:tcW w:w="4569" w:type="dxa"/>
            <w:vAlign w:val="top"/>
          </w:tcPr>
          <w:p w14:paraId="1485F01B">
            <w:pPr>
              <w:pStyle w:val="20"/>
              <w:keepNext w:val="0"/>
              <w:keepLines w:val="0"/>
              <w:pageBreakBefore w:val="0"/>
              <w:widowControl w:val="0"/>
              <w:kinsoku w:val="0"/>
              <w:wordWrap/>
              <w:overflowPunct/>
              <w:topLinePunct w:val="0"/>
              <w:autoSpaceDE w:val="0"/>
              <w:autoSpaceDN w:val="0"/>
              <w:bidi w:val="0"/>
              <w:adjustRightInd w:val="0"/>
              <w:snapToGrid w:val="0"/>
              <w:spacing w:before="159" w:line="219" w:lineRule="auto"/>
              <w:ind w:left="103"/>
              <w:textAlignment w:val="baseline"/>
            </w:pPr>
            <w:r>
              <w:rPr>
                <w:spacing w:val="-1"/>
              </w:rPr>
              <w:t>无明显目视污渍、尘渍各得1分，共2分</w:t>
            </w:r>
          </w:p>
        </w:tc>
        <w:tc>
          <w:tcPr>
            <w:tcW w:w="891" w:type="dxa"/>
            <w:vAlign w:val="top"/>
          </w:tcPr>
          <w:p w14:paraId="53DEBEB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3A4D09D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2D75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52" w:type="dxa"/>
            <w:vMerge w:val="continue"/>
            <w:tcBorders>
              <w:top w:val="nil"/>
              <w:bottom w:val="nil"/>
            </w:tcBorders>
            <w:vAlign w:val="top"/>
          </w:tcPr>
          <w:p w14:paraId="473E51B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0699306E">
            <w:pPr>
              <w:pStyle w:val="20"/>
              <w:keepNext w:val="0"/>
              <w:keepLines w:val="0"/>
              <w:pageBreakBefore w:val="0"/>
              <w:widowControl w:val="0"/>
              <w:kinsoku w:val="0"/>
              <w:wordWrap/>
              <w:overflowPunct/>
              <w:topLinePunct w:val="0"/>
              <w:autoSpaceDE w:val="0"/>
              <w:autoSpaceDN w:val="0"/>
              <w:bidi w:val="0"/>
              <w:adjustRightInd w:val="0"/>
              <w:snapToGrid w:val="0"/>
              <w:spacing w:before="214" w:line="183" w:lineRule="auto"/>
              <w:ind w:left="210"/>
              <w:textAlignment w:val="baseline"/>
            </w:pPr>
            <w:r>
              <w:t>3</w:t>
            </w:r>
          </w:p>
        </w:tc>
        <w:tc>
          <w:tcPr>
            <w:tcW w:w="1783" w:type="dxa"/>
            <w:vAlign w:val="top"/>
          </w:tcPr>
          <w:p w14:paraId="599A230E">
            <w:pPr>
              <w:pStyle w:val="20"/>
              <w:keepNext w:val="0"/>
              <w:keepLines w:val="0"/>
              <w:pageBreakBefore w:val="0"/>
              <w:widowControl w:val="0"/>
              <w:kinsoku w:val="0"/>
              <w:wordWrap/>
              <w:overflowPunct/>
              <w:topLinePunct w:val="0"/>
              <w:autoSpaceDE w:val="0"/>
              <w:autoSpaceDN w:val="0"/>
              <w:bidi w:val="0"/>
              <w:adjustRightInd w:val="0"/>
              <w:snapToGrid w:val="0"/>
              <w:spacing w:before="161" w:line="220" w:lineRule="auto"/>
              <w:ind w:left="111"/>
              <w:textAlignment w:val="baseline"/>
            </w:pPr>
            <w:r>
              <w:rPr>
                <w:spacing w:val="2"/>
              </w:rPr>
              <w:t>消防设施</w:t>
            </w:r>
          </w:p>
        </w:tc>
        <w:tc>
          <w:tcPr>
            <w:tcW w:w="4569" w:type="dxa"/>
            <w:vAlign w:val="top"/>
          </w:tcPr>
          <w:p w14:paraId="29F5D87A">
            <w:pPr>
              <w:pStyle w:val="20"/>
              <w:keepNext w:val="0"/>
              <w:keepLines w:val="0"/>
              <w:pageBreakBefore w:val="0"/>
              <w:widowControl w:val="0"/>
              <w:kinsoku w:val="0"/>
              <w:wordWrap/>
              <w:overflowPunct/>
              <w:topLinePunct w:val="0"/>
              <w:autoSpaceDE w:val="0"/>
              <w:autoSpaceDN w:val="0"/>
              <w:bidi w:val="0"/>
              <w:adjustRightInd w:val="0"/>
              <w:snapToGrid w:val="0"/>
              <w:spacing w:before="160" w:line="219" w:lineRule="auto"/>
              <w:ind w:left="103"/>
              <w:textAlignment w:val="baseline"/>
            </w:pPr>
            <w:r>
              <w:rPr>
                <w:spacing w:val="-1"/>
              </w:rPr>
              <w:t>无明显目视污渍、尘渍各得1分，共2分</w:t>
            </w:r>
          </w:p>
        </w:tc>
        <w:tc>
          <w:tcPr>
            <w:tcW w:w="891" w:type="dxa"/>
            <w:vAlign w:val="top"/>
          </w:tcPr>
          <w:p w14:paraId="38B7333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1D2A40D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3B095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52" w:type="dxa"/>
            <w:vMerge w:val="continue"/>
            <w:tcBorders>
              <w:top w:val="nil"/>
              <w:bottom w:val="nil"/>
            </w:tcBorders>
            <w:vAlign w:val="top"/>
          </w:tcPr>
          <w:p w14:paraId="1227713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009A409C">
            <w:pPr>
              <w:pStyle w:val="20"/>
              <w:keepNext w:val="0"/>
              <w:keepLines w:val="0"/>
              <w:pageBreakBefore w:val="0"/>
              <w:widowControl w:val="0"/>
              <w:kinsoku w:val="0"/>
              <w:wordWrap/>
              <w:overflowPunct/>
              <w:topLinePunct w:val="0"/>
              <w:autoSpaceDE w:val="0"/>
              <w:autoSpaceDN w:val="0"/>
              <w:bidi w:val="0"/>
              <w:adjustRightInd w:val="0"/>
              <w:snapToGrid w:val="0"/>
              <w:spacing w:before="214" w:line="183" w:lineRule="auto"/>
              <w:ind w:left="210"/>
              <w:textAlignment w:val="baseline"/>
            </w:pPr>
            <w:r>
              <w:t>4</w:t>
            </w:r>
          </w:p>
        </w:tc>
        <w:tc>
          <w:tcPr>
            <w:tcW w:w="1783" w:type="dxa"/>
            <w:vAlign w:val="top"/>
          </w:tcPr>
          <w:p w14:paraId="33AC1F2B">
            <w:pPr>
              <w:pStyle w:val="20"/>
              <w:keepNext w:val="0"/>
              <w:keepLines w:val="0"/>
              <w:pageBreakBefore w:val="0"/>
              <w:widowControl w:val="0"/>
              <w:kinsoku w:val="0"/>
              <w:wordWrap/>
              <w:overflowPunct/>
              <w:topLinePunct w:val="0"/>
              <w:autoSpaceDE w:val="0"/>
              <w:autoSpaceDN w:val="0"/>
              <w:bidi w:val="0"/>
              <w:adjustRightInd w:val="0"/>
              <w:snapToGrid w:val="0"/>
              <w:spacing w:before="50" w:line="206" w:lineRule="auto"/>
              <w:ind w:left="111" w:firstLine="9"/>
              <w:textAlignment w:val="baseline"/>
            </w:pPr>
            <w:r>
              <w:rPr>
                <w:spacing w:val="2"/>
              </w:rPr>
              <w:t>玻璃、不锈钢、</w:t>
            </w:r>
            <w:r>
              <w:rPr>
                <w:spacing w:val="-11"/>
              </w:rPr>
              <w:t>楼梯护栏</w:t>
            </w:r>
          </w:p>
        </w:tc>
        <w:tc>
          <w:tcPr>
            <w:tcW w:w="4569" w:type="dxa"/>
            <w:vAlign w:val="top"/>
          </w:tcPr>
          <w:p w14:paraId="661B0D39">
            <w:pPr>
              <w:pStyle w:val="20"/>
              <w:keepNext w:val="0"/>
              <w:keepLines w:val="0"/>
              <w:pageBreakBefore w:val="0"/>
              <w:widowControl w:val="0"/>
              <w:kinsoku w:val="0"/>
              <w:wordWrap/>
              <w:overflowPunct/>
              <w:topLinePunct w:val="0"/>
              <w:autoSpaceDE w:val="0"/>
              <w:autoSpaceDN w:val="0"/>
              <w:bidi w:val="0"/>
              <w:adjustRightInd w:val="0"/>
              <w:snapToGrid w:val="0"/>
              <w:spacing w:before="50" w:line="206" w:lineRule="auto"/>
              <w:ind w:left="103" w:right="120"/>
              <w:textAlignment w:val="baseline"/>
            </w:pPr>
            <w:r>
              <w:rPr>
                <w:spacing w:val="1"/>
              </w:rPr>
              <w:t>无明显目视手印、污渍、尘渍、水迹各得1</w:t>
            </w:r>
            <w:r>
              <w:rPr>
                <w:spacing w:val="3"/>
              </w:rPr>
              <w:t>分，4分</w:t>
            </w:r>
          </w:p>
        </w:tc>
        <w:tc>
          <w:tcPr>
            <w:tcW w:w="891" w:type="dxa"/>
            <w:vAlign w:val="top"/>
          </w:tcPr>
          <w:p w14:paraId="24B436C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69CF20A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3AB8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52" w:type="dxa"/>
            <w:vMerge w:val="continue"/>
            <w:tcBorders>
              <w:top w:val="nil"/>
              <w:bottom w:val="nil"/>
            </w:tcBorders>
            <w:vAlign w:val="top"/>
          </w:tcPr>
          <w:p w14:paraId="75B3988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6F015ECC">
            <w:pPr>
              <w:pStyle w:val="20"/>
              <w:keepNext w:val="0"/>
              <w:keepLines w:val="0"/>
              <w:pageBreakBefore w:val="0"/>
              <w:widowControl w:val="0"/>
              <w:kinsoku w:val="0"/>
              <w:wordWrap/>
              <w:overflowPunct/>
              <w:topLinePunct w:val="0"/>
              <w:autoSpaceDE w:val="0"/>
              <w:autoSpaceDN w:val="0"/>
              <w:bidi w:val="0"/>
              <w:adjustRightInd w:val="0"/>
              <w:snapToGrid w:val="0"/>
              <w:spacing w:before="227" w:line="182" w:lineRule="auto"/>
              <w:ind w:left="210"/>
              <w:textAlignment w:val="baseline"/>
            </w:pPr>
            <w:r>
              <w:t>5</w:t>
            </w:r>
          </w:p>
        </w:tc>
        <w:tc>
          <w:tcPr>
            <w:tcW w:w="1783" w:type="dxa"/>
            <w:vAlign w:val="top"/>
          </w:tcPr>
          <w:p w14:paraId="26257522">
            <w:pPr>
              <w:pStyle w:val="20"/>
              <w:keepNext w:val="0"/>
              <w:keepLines w:val="0"/>
              <w:pageBreakBefore w:val="0"/>
              <w:widowControl w:val="0"/>
              <w:kinsoku w:val="0"/>
              <w:wordWrap/>
              <w:overflowPunct/>
              <w:topLinePunct w:val="0"/>
              <w:autoSpaceDE w:val="0"/>
              <w:autoSpaceDN w:val="0"/>
              <w:bidi w:val="0"/>
              <w:adjustRightInd w:val="0"/>
              <w:snapToGrid w:val="0"/>
              <w:spacing w:before="172" w:line="221" w:lineRule="auto"/>
              <w:ind w:left="111"/>
              <w:textAlignment w:val="baseline"/>
            </w:pPr>
            <w:r>
              <w:rPr>
                <w:spacing w:val="-2"/>
              </w:rPr>
              <w:t>绿化盆栽</w:t>
            </w:r>
          </w:p>
        </w:tc>
        <w:tc>
          <w:tcPr>
            <w:tcW w:w="4569" w:type="dxa"/>
            <w:vAlign w:val="top"/>
          </w:tcPr>
          <w:p w14:paraId="3F1B8647">
            <w:pPr>
              <w:pStyle w:val="20"/>
              <w:keepNext w:val="0"/>
              <w:keepLines w:val="0"/>
              <w:pageBreakBefore w:val="0"/>
              <w:widowControl w:val="0"/>
              <w:kinsoku w:val="0"/>
              <w:wordWrap/>
              <w:overflowPunct/>
              <w:topLinePunct w:val="0"/>
              <w:autoSpaceDE w:val="0"/>
              <w:autoSpaceDN w:val="0"/>
              <w:bidi w:val="0"/>
              <w:adjustRightInd w:val="0"/>
              <w:snapToGrid w:val="0"/>
              <w:spacing w:before="61" w:line="206" w:lineRule="auto"/>
              <w:ind w:left="103" w:right="110" w:firstLine="20"/>
              <w:textAlignment w:val="baseline"/>
            </w:pPr>
            <w:r>
              <w:t>盆内无杂物、盆身洁净、花叶无积尘各得1</w:t>
            </w:r>
            <w:r>
              <w:rPr>
                <w:spacing w:val="2"/>
              </w:rPr>
              <w:t>分，共3分</w:t>
            </w:r>
          </w:p>
        </w:tc>
        <w:tc>
          <w:tcPr>
            <w:tcW w:w="891" w:type="dxa"/>
            <w:vAlign w:val="top"/>
          </w:tcPr>
          <w:p w14:paraId="32D5D90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7F000D4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2C9D9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2" w:type="dxa"/>
            <w:vMerge w:val="continue"/>
            <w:tcBorders>
              <w:top w:val="nil"/>
              <w:bottom w:val="nil"/>
            </w:tcBorders>
            <w:vAlign w:val="top"/>
          </w:tcPr>
          <w:p w14:paraId="7725EEB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70197C8A">
            <w:pPr>
              <w:pStyle w:val="20"/>
              <w:keepNext w:val="0"/>
              <w:keepLines w:val="0"/>
              <w:pageBreakBefore w:val="0"/>
              <w:widowControl w:val="0"/>
              <w:kinsoku w:val="0"/>
              <w:wordWrap/>
              <w:overflowPunct/>
              <w:topLinePunct w:val="0"/>
              <w:autoSpaceDE w:val="0"/>
              <w:autoSpaceDN w:val="0"/>
              <w:bidi w:val="0"/>
              <w:adjustRightInd w:val="0"/>
              <w:snapToGrid w:val="0"/>
              <w:spacing w:before="175" w:line="183" w:lineRule="auto"/>
              <w:ind w:left="210"/>
              <w:textAlignment w:val="baseline"/>
            </w:pPr>
            <w:r>
              <w:t>6</w:t>
            </w:r>
          </w:p>
        </w:tc>
        <w:tc>
          <w:tcPr>
            <w:tcW w:w="1783" w:type="dxa"/>
            <w:vAlign w:val="top"/>
          </w:tcPr>
          <w:p w14:paraId="2F27277A">
            <w:pPr>
              <w:pStyle w:val="20"/>
              <w:keepNext w:val="0"/>
              <w:keepLines w:val="0"/>
              <w:pageBreakBefore w:val="0"/>
              <w:widowControl w:val="0"/>
              <w:kinsoku w:val="0"/>
              <w:wordWrap/>
              <w:overflowPunct/>
              <w:topLinePunct w:val="0"/>
              <w:autoSpaceDE w:val="0"/>
              <w:autoSpaceDN w:val="0"/>
              <w:bidi w:val="0"/>
              <w:adjustRightInd w:val="0"/>
              <w:snapToGrid w:val="0"/>
              <w:spacing w:before="121" w:line="219" w:lineRule="auto"/>
              <w:ind w:left="111"/>
              <w:textAlignment w:val="baseline"/>
            </w:pPr>
            <w:r>
              <w:rPr>
                <w:spacing w:val="-2"/>
              </w:rPr>
              <w:t>垃圾桶、垃圾</w:t>
            </w:r>
          </w:p>
        </w:tc>
        <w:tc>
          <w:tcPr>
            <w:tcW w:w="4569" w:type="dxa"/>
            <w:vAlign w:val="top"/>
          </w:tcPr>
          <w:p w14:paraId="64744DDE">
            <w:pPr>
              <w:pStyle w:val="20"/>
              <w:keepNext w:val="0"/>
              <w:keepLines w:val="0"/>
              <w:pageBreakBefore w:val="0"/>
              <w:widowControl w:val="0"/>
              <w:kinsoku w:val="0"/>
              <w:wordWrap/>
              <w:overflowPunct/>
              <w:topLinePunct w:val="0"/>
              <w:autoSpaceDE w:val="0"/>
              <w:autoSpaceDN w:val="0"/>
              <w:bidi w:val="0"/>
              <w:adjustRightInd w:val="0"/>
              <w:snapToGrid w:val="0"/>
              <w:spacing w:before="121" w:line="219" w:lineRule="auto"/>
              <w:ind w:left="103"/>
              <w:textAlignment w:val="baseline"/>
            </w:pPr>
            <w:r>
              <w:t>无臭味，垃圾日产日清，垃圾桶洁净得3分</w:t>
            </w:r>
          </w:p>
        </w:tc>
        <w:tc>
          <w:tcPr>
            <w:tcW w:w="891" w:type="dxa"/>
            <w:vAlign w:val="top"/>
          </w:tcPr>
          <w:p w14:paraId="06C467F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5245979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2124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52" w:type="dxa"/>
            <w:vMerge w:val="continue"/>
            <w:tcBorders>
              <w:top w:val="nil"/>
              <w:bottom w:val="nil"/>
            </w:tcBorders>
            <w:vAlign w:val="top"/>
          </w:tcPr>
          <w:p w14:paraId="0A97317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14A5B783">
            <w:pPr>
              <w:pStyle w:val="20"/>
              <w:keepNext w:val="0"/>
              <w:keepLines w:val="0"/>
              <w:pageBreakBefore w:val="0"/>
              <w:widowControl w:val="0"/>
              <w:kinsoku w:val="0"/>
              <w:wordWrap/>
              <w:overflowPunct/>
              <w:topLinePunct w:val="0"/>
              <w:autoSpaceDE w:val="0"/>
              <w:autoSpaceDN w:val="0"/>
              <w:bidi w:val="0"/>
              <w:adjustRightInd w:val="0"/>
              <w:snapToGrid w:val="0"/>
              <w:spacing w:before="146" w:line="182" w:lineRule="auto"/>
              <w:ind w:left="210"/>
              <w:textAlignment w:val="baseline"/>
            </w:pPr>
            <w:r>
              <w:t>7</w:t>
            </w:r>
          </w:p>
        </w:tc>
        <w:tc>
          <w:tcPr>
            <w:tcW w:w="1783" w:type="dxa"/>
            <w:vAlign w:val="top"/>
          </w:tcPr>
          <w:p w14:paraId="39398854">
            <w:pPr>
              <w:pStyle w:val="20"/>
              <w:keepNext w:val="0"/>
              <w:keepLines w:val="0"/>
              <w:pageBreakBefore w:val="0"/>
              <w:widowControl w:val="0"/>
              <w:kinsoku w:val="0"/>
              <w:wordWrap/>
              <w:overflowPunct/>
              <w:topLinePunct w:val="0"/>
              <w:autoSpaceDE w:val="0"/>
              <w:autoSpaceDN w:val="0"/>
              <w:bidi w:val="0"/>
              <w:adjustRightInd w:val="0"/>
              <w:snapToGrid w:val="0"/>
              <w:spacing w:before="92" w:line="220" w:lineRule="auto"/>
              <w:ind w:left="111"/>
              <w:textAlignment w:val="baseline"/>
            </w:pPr>
            <w:r>
              <w:rPr>
                <w:spacing w:val="5"/>
              </w:rPr>
              <w:t>门窗</w:t>
            </w:r>
          </w:p>
        </w:tc>
        <w:tc>
          <w:tcPr>
            <w:tcW w:w="4569" w:type="dxa"/>
            <w:vAlign w:val="top"/>
          </w:tcPr>
          <w:p w14:paraId="749697F7">
            <w:pPr>
              <w:pStyle w:val="20"/>
              <w:keepNext w:val="0"/>
              <w:keepLines w:val="0"/>
              <w:pageBreakBefore w:val="0"/>
              <w:widowControl w:val="0"/>
              <w:kinsoku w:val="0"/>
              <w:wordWrap/>
              <w:overflowPunct/>
              <w:topLinePunct w:val="0"/>
              <w:autoSpaceDE w:val="0"/>
              <w:autoSpaceDN w:val="0"/>
              <w:bidi w:val="0"/>
              <w:adjustRightInd w:val="0"/>
              <w:snapToGrid w:val="0"/>
              <w:spacing w:before="91" w:line="219" w:lineRule="auto"/>
              <w:ind w:left="103"/>
              <w:textAlignment w:val="baseline"/>
            </w:pPr>
            <w:r>
              <w:rPr>
                <w:spacing w:val="-1"/>
              </w:rPr>
              <w:t>无明显目视污渍、尘渍各得1分，共2分</w:t>
            </w:r>
          </w:p>
        </w:tc>
        <w:tc>
          <w:tcPr>
            <w:tcW w:w="891" w:type="dxa"/>
            <w:vAlign w:val="top"/>
          </w:tcPr>
          <w:p w14:paraId="05FFB9D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7337C8E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4A0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continue"/>
            <w:tcBorders>
              <w:top w:val="nil"/>
              <w:bottom w:val="nil"/>
            </w:tcBorders>
            <w:vAlign w:val="top"/>
          </w:tcPr>
          <w:p w14:paraId="2772C45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17951728">
            <w:pPr>
              <w:pStyle w:val="20"/>
              <w:keepNext w:val="0"/>
              <w:keepLines w:val="0"/>
              <w:pageBreakBefore w:val="0"/>
              <w:widowControl w:val="0"/>
              <w:kinsoku w:val="0"/>
              <w:wordWrap/>
              <w:overflowPunct/>
              <w:topLinePunct w:val="0"/>
              <w:autoSpaceDE w:val="0"/>
              <w:autoSpaceDN w:val="0"/>
              <w:bidi w:val="0"/>
              <w:adjustRightInd w:val="0"/>
              <w:snapToGrid w:val="0"/>
              <w:spacing w:before="225" w:line="183" w:lineRule="auto"/>
              <w:ind w:left="210"/>
              <w:textAlignment w:val="baseline"/>
            </w:pPr>
            <w:r>
              <w:t>8</w:t>
            </w:r>
          </w:p>
        </w:tc>
        <w:tc>
          <w:tcPr>
            <w:tcW w:w="1783" w:type="dxa"/>
            <w:vAlign w:val="top"/>
          </w:tcPr>
          <w:p w14:paraId="5E955CF2">
            <w:pPr>
              <w:pStyle w:val="20"/>
              <w:keepNext w:val="0"/>
              <w:keepLines w:val="0"/>
              <w:pageBreakBefore w:val="0"/>
              <w:widowControl w:val="0"/>
              <w:kinsoku w:val="0"/>
              <w:wordWrap/>
              <w:overflowPunct/>
              <w:topLinePunct w:val="0"/>
              <w:autoSpaceDE w:val="0"/>
              <w:autoSpaceDN w:val="0"/>
              <w:bidi w:val="0"/>
              <w:adjustRightInd w:val="0"/>
              <w:snapToGrid w:val="0"/>
              <w:spacing w:before="174" w:line="222" w:lineRule="auto"/>
              <w:ind w:left="111"/>
              <w:textAlignment w:val="baseline"/>
            </w:pPr>
            <w:r>
              <w:rPr>
                <w:spacing w:val="6"/>
              </w:rPr>
              <w:t>卫生间</w:t>
            </w:r>
          </w:p>
        </w:tc>
        <w:tc>
          <w:tcPr>
            <w:tcW w:w="4569" w:type="dxa"/>
            <w:vAlign w:val="top"/>
          </w:tcPr>
          <w:p w14:paraId="6E218C60">
            <w:pPr>
              <w:pStyle w:val="20"/>
              <w:keepNext w:val="0"/>
              <w:keepLines w:val="0"/>
              <w:pageBreakBefore w:val="0"/>
              <w:widowControl w:val="0"/>
              <w:kinsoku w:val="0"/>
              <w:wordWrap/>
              <w:overflowPunct/>
              <w:topLinePunct w:val="0"/>
              <w:autoSpaceDE w:val="0"/>
              <w:autoSpaceDN w:val="0"/>
              <w:bidi w:val="0"/>
              <w:adjustRightInd w:val="0"/>
              <w:snapToGrid w:val="0"/>
              <w:spacing w:before="42" w:line="214" w:lineRule="auto"/>
              <w:ind w:left="103" w:right="51"/>
              <w:textAlignment w:val="baseline"/>
            </w:pPr>
            <w:r>
              <w:rPr>
                <w:spacing w:val="-1"/>
              </w:rPr>
              <w:t>无明显目视污垢、污渍，无臭味、蚊虫各得</w:t>
            </w:r>
            <w:r>
              <w:rPr>
                <w:spacing w:val="1"/>
              </w:rPr>
              <w:t>1分，共4分</w:t>
            </w:r>
          </w:p>
        </w:tc>
        <w:tc>
          <w:tcPr>
            <w:tcW w:w="891" w:type="dxa"/>
            <w:vAlign w:val="top"/>
          </w:tcPr>
          <w:p w14:paraId="72BA48C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5FFC713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095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2" w:type="dxa"/>
            <w:vMerge w:val="continue"/>
            <w:tcBorders>
              <w:top w:val="nil"/>
            </w:tcBorders>
            <w:vAlign w:val="top"/>
          </w:tcPr>
          <w:p w14:paraId="3B3DB8E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44AF059F">
            <w:pPr>
              <w:pStyle w:val="20"/>
              <w:keepNext w:val="0"/>
              <w:keepLines w:val="0"/>
              <w:pageBreakBefore w:val="0"/>
              <w:widowControl w:val="0"/>
              <w:kinsoku w:val="0"/>
              <w:wordWrap/>
              <w:overflowPunct/>
              <w:topLinePunct w:val="0"/>
              <w:autoSpaceDE w:val="0"/>
              <w:autoSpaceDN w:val="0"/>
              <w:bidi w:val="0"/>
              <w:adjustRightInd w:val="0"/>
              <w:snapToGrid w:val="0"/>
              <w:spacing w:before="206" w:line="183" w:lineRule="auto"/>
              <w:ind w:left="210"/>
              <w:textAlignment w:val="baseline"/>
            </w:pPr>
            <w:r>
              <w:t>9</w:t>
            </w:r>
          </w:p>
        </w:tc>
        <w:tc>
          <w:tcPr>
            <w:tcW w:w="1783" w:type="dxa"/>
            <w:vAlign w:val="top"/>
          </w:tcPr>
          <w:p w14:paraId="0F2714F1">
            <w:pPr>
              <w:pStyle w:val="20"/>
              <w:keepNext w:val="0"/>
              <w:keepLines w:val="0"/>
              <w:pageBreakBefore w:val="0"/>
              <w:widowControl w:val="0"/>
              <w:kinsoku w:val="0"/>
              <w:wordWrap/>
              <w:overflowPunct/>
              <w:topLinePunct w:val="0"/>
              <w:autoSpaceDE w:val="0"/>
              <w:autoSpaceDN w:val="0"/>
              <w:bidi w:val="0"/>
              <w:adjustRightInd w:val="0"/>
              <w:snapToGrid w:val="0"/>
              <w:spacing w:before="152" w:line="219" w:lineRule="auto"/>
              <w:ind w:left="111"/>
              <w:textAlignment w:val="baseline"/>
            </w:pPr>
            <w:r>
              <w:rPr>
                <w:spacing w:val="2"/>
              </w:rPr>
              <w:t>防疫消杀</w:t>
            </w:r>
          </w:p>
        </w:tc>
        <w:tc>
          <w:tcPr>
            <w:tcW w:w="4569" w:type="dxa"/>
            <w:vAlign w:val="top"/>
          </w:tcPr>
          <w:p w14:paraId="4DAC5C65">
            <w:pPr>
              <w:pStyle w:val="20"/>
              <w:keepNext w:val="0"/>
              <w:keepLines w:val="0"/>
              <w:pageBreakBefore w:val="0"/>
              <w:widowControl w:val="0"/>
              <w:kinsoku w:val="0"/>
              <w:wordWrap/>
              <w:overflowPunct/>
              <w:topLinePunct w:val="0"/>
              <w:autoSpaceDE w:val="0"/>
              <w:autoSpaceDN w:val="0"/>
              <w:bidi w:val="0"/>
              <w:adjustRightInd w:val="0"/>
              <w:snapToGrid w:val="0"/>
              <w:spacing w:before="152" w:line="219" w:lineRule="auto"/>
              <w:ind w:left="103"/>
              <w:textAlignment w:val="baseline"/>
            </w:pPr>
            <w:r>
              <w:rPr>
                <w:spacing w:val="-1"/>
              </w:rPr>
              <w:t>按要求次数、质量消杀各得1分，共2分</w:t>
            </w:r>
          </w:p>
        </w:tc>
        <w:tc>
          <w:tcPr>
            <w:tcW w:w="891" w:type="dxa"/>
            <w:vAlign w:val="top"/>
          </w:tcPr>
          <w:p w14:paraId="57740BE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07193CF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41E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52" w:type="dxa"/>
            <w:vMerge w:val="restart"/>
            <w:tcBorders>
              <w:bottom w:val="nil"/>
            </w:tcBorders>
            <w:vAlign w:val="top"/>
          </w:tcPr>
          <w:p w14:paraId="644FA9D5">
            <w:pPr>
              <w:keepNext w:val="0"/>
              <w:keepLines w:val="0"/>
              <w:pageBreakBefore w:val="0"/>
              <w:widowControl w:val="0"/>
              <w:kinsoku w:val="0"/>
              <w:wordWrap/>
              <w:overflowPunct/>
              <w:topLinePunct w:val="0"/>
              <w:autoSpaceDE w:val="0"/>
              <w:autoSpaceDN w:val="0"/>
              <w:bidi w:val="0"/>
              <w:adjustRightInd w:val="0"/>
              <w:snapToGrid w:val="0"/>
              <w:spacing w:line="283" w:lineRule="auto"/>
              <w:textAlignment w:val="baseline"/>
              <w:rPr>
                <w:rFonts w:ascii="Arial"/>
                <w:sz w:val="21"/>
              </w:rPr>
            </w:pPr>
          </w:p>
          <w:p w14:paraId="2C9DE3B0">
            <w:pPr>
              <w:keepNext w:val="0"/>
              <w:keepLines w:val="0"/>
              <w:pageBreakBefore w:val="0"/>
              <w:widowControl w:val="0"/>
              <w:kinsoku w:val="0"/>
              <w:wordWrap/>
              <w:overflowPunct/>
              <w:topLinePunct w:val="0"/>
              <w:autoSpaceDE w:val="0"/>
              <w:autoSpaceDN w:val="0"/>
              <w:bidi w:val="0"/>
              <w:adjustRightInd w:val="0"/>
              <w:snapToGrid w:val="0"/>
              <w:spacing w:line="283" w:lineRule="auto"/>
              <w:textAlignment w:val="baseline"/>
              <w:rPr>
                <w:rFonts w:ascii="Arial"/>
                <w:sz w:val="21"/>
              </w:rPr>
            </w:pPr>
          </w:p>
          <w:p w14:paraId="32572576">
            <w:pPr>
              <w:keepNext w:val="0"/>
              <w:keepLines w:val="0"/>
              <w:pageBreakBefore w:val="0"/>
              <w:widowControl w:val="0"/>
              <w:kinsoku w:val="0"/>
              <w:wordWrap/>
              <w:overflowPunct/>
              <w:topLinePunct w:val="0"/>
              <w:autoSpaceDE w:val="0"/>
              <w:autoSpaceDN w:val="0"/>
              <w:bidi w:val="0"/>
              <w:adjustRightInd w:val="0"/>
              <w:snapToGrid w:val="0"/>
              <w:spacing w:line="283" w:lineRule="auto"/>
              <w:textAlignment w:val="baseline"/>
              <w:rPr>
                <w:rFonts w:ascii="Arial"/>
                <w:sz w:val="21"/>
              </w:rPr>
            </w:pPr>
          </w:p>
          <w:p w14:paraId="526EA474">
            <w:pPr>
              <w:keepNext w:val="0"/>
              <w:keepLines w:val="0"/>
              <w:pageBreakBefore w:val="0"/>
              <w:widowControl w:val="0"/>
              <w:kinsoku w:val="0"/>
              <w:wordWrap/>
              <w:overflowPunct/>
              <w:topLinePunct w:val="0"/>
              <w:autoSpaceDE w:val="0"/>
              <w:autoSpaceDN w:val="0"/>
              <w:bidi w:val="0"/>
              <w:adjustRightInd w:val="0"/>
              <w:snapToGrid w:val="0"/>
              <w:spacing w:line="283" w:lineRule="auto"/>
              <w:textAlignment w:val="baseline"/>
              <w:rPr>
                <w:rFonts w:ascii="Arial"/>
                <w:sz w:val="21"/>
              </w:rPr>
            </w:pPr>
          </w:p>
          <w:p w14:paraId="632DFB80">
            <w:pPr>
              <w:keepNext w:val="0"/>
              <w:keepLines w:val="0"/>
              <w:pageBreakBefore w:val="0"/>
              <w:widowControl w:val="0"/>
              <w:kinsoku w:val="0"/>
              <w:wordWrap/>
              <w:overflowPunct/>
              <w:topLinePunct w:val="0"/>
              <w:autoSpaceDE w:val="0"/>
              <w:autoSpaceDN w:val="0"/>
              <w:bidi w:val="0"/>
              <w:adjustRightInd w:val="0"/>
              <w:snapToGrid w:val="0"/>
              <w:spacing w:line="283" w:lineRule="auto"/>
              <w:textAlignment w:val="baseline"/>
              <w:rPr>
                <w:rFonts w:ascii="Arial"/>
                <w:sz w:val="21"/>
              </w:rPr>
            </w:pPr>
          </w:p>
          <w:p w14:paraId="3D7AB62B">
            <w:pPr>
              <w:pStyle w:val="20"/>
              <w:keepNext w:val="0"/>
              <w:keepLines w:val="0"/>
              <w:pageBreakBefore w:val="0"/>
              <w:widowControl w:val="0"/>
              <w:kinsoku w:val="0"/>
              <w:wordWrap/>
              <w:overflowPunct/>
              <w:topLinePunct w:val="0"/>
              <w:autoSpaceDE w:val="0"/>
              <w:autoSpaceDN w:val="0"/>
              <w:bidi w:val="0"/>
              <w:adjustRightInd w:val="0"/>
              <w:snapToGrid w:val="0"/>
              <w:spacing w:before="68" w:line="231" w:lineRule="auto"/>
              <w:ind w:left="215" w:right="209"/>
              <w:textAlignment w:val="baseline"/>
            </w:pPr>
            <w:r>
              <w:rPr>
                <w:spacing w:val="4"/>
              </w:rPr>
              <w:t>女生</w:t>
            </w:r>
            <w:r>
              <w:rPr>
                <w:spacing w:val="-5"/>
              </w:rPr>
              <w:t>宿舍</w:t>
            </w:r>
            <w:r>
              <w:rPr>
                <w:spacing w:val="1"/>
              </w:rPr>
              <w:t>(21</w:t>
            </w:r>
            <w:r>
              <w:rPr>
                <w:spacing w:val="19"/>
              </w:rPr>
              <w:t>分)</w:t>
            </w:r>
          </w:p>
        </w:tc>
        <w:tc>
          <w:tcPr>
            <w:tcW w:w="617" w:type="dxa"/>
            <w:vAlign w:val="top"/>
          </w:tcPr>
          <w:p w14:paraId="62F49FE5">
            <w:pPr>
              <w:pStyle w:val="20"/>
              <w:keepNext w:val="0"/>
              <w:keepLines w:val="0"/>
              <w:pageBreakBefore w:val="0"/>
              <w:widowControl w:val="0"/>
              <w:kinsoku w:val="0"/>
              <w:wordWrap/>
              <w:overflowPunct/>
              <w:topLinePunct w:val="0"/>
              <w:autoSpaceDE w:val="0"/>
              <w:autoSpaceDN w:val="0"/>
              <w:bidi w:val="0"/>
              <w:adjustRightInd w:val="0"/>
              <w:snapToGrid w:val="0"/>
              <w:spacing w:before="215" w:line="184" w:lineRule="auto"/>
              <w:ind w:left="161"/>
              <w:textAlignment w:val="baseline"/>
            </w:pPr>
            <w:r>
              <w:rPr>
                <w:spacing w:val="-6"/>
              </w:rPr>
              <w:t>10</w:t>
            </w:r>
          </w:p>
        </w:tc>
        <w:tc>
          <w:tcPr>
            <w:tcW w:w="1783" w:type="dxa"/>
            <w:vAlign w:val="top"/>
          </w:tcPr>
          <w:p w14:paraId="53DF3DDD">
            <w:pPr>
              <w:pStyle w:val="20"/>
              <w:keepNext w:val="0"/>
              <w:keepLines w:val="0"/>
              <w:pageBreakBefore w:val="0"/>
              <w:widowControl w:val="0"/>
              <w:kinsoku w:val="0"/>
              <w:wordWrap/>
              <w:overflowPunct/>
              <w:topLinePunct w:val="0"/>
              <w:autoSpaceDE w:val="0"/>
              <w:autoSpaceDN w:val="0"/>
              <w:bidi w:val="0"/>
              <w:adjustRightInd w:val="0"/>
              <w:snapToGrid w:val="0"/>
              <w:spacing w:before="74" w:line="196" w:lineRule="auto"/>
              <w:ind w:left="111" w:right="35"/>
              <w:textAlignment w:val="baseline"/>
            </w:pPr>
            <w:r>
              <w:rPr>
                <w:spacing w:val="-2"/>
              </w:rPr>
              <w:t>地面、墙面、天</w:t>
            </w:r>
            <w:r>
              <w:rPr>
                <w:spacing w:val="3"/>
              </w:rPr>
              <w:t>花、天棚</w:t>
            </w:r>
          </w:p>
        </w:tc>
        <w:tc>
          <w:tcPr>
            <w:tcW w:w="4569" w:type="dxa"/>
            <w:vAlign w:val="top"/>
          </w:tcPr>
          <w:p w14:paraId="52048E8B">
            <w:pPr>
              <w:pStyle w:val="20"/>
              <w:keepNext w:val="0"/>
              <w:keepLines w:val="0"/>
              <w:pageBreakBefore w:val="0"/>
              <w:widowControl w:val="0"/>
              <w:kinsoku w:val="0"/>
              <w:wordWrap/>
              <w:overflowPunct/>
              <w:topLinePunct w:val="0"/>
              <w:autoSpaceDE w:val="0"/>
              <w:autoSpaceDN w:val="0"/>
              <w:bidi w:val="0"/>
              <w:adjustRightInd w:val="0"/>
              <w:snapToGrid w:val="0"/>
              <w:spacing w:before="51" w:line="206" w:lineRule="auto"/>
              <w:ind w:left="103" w:right="110" w:firstLine="20"/>
              <w:textAlignment w:val="baseline"/>
            </w:pPr>
            <w:r>
              <w:t>保持干净，无垃圾、无杂物、无蛛网各得1</w:t>
            </w:r>
            <w:r>
              <w:rPr>
                <w:spacing w:val="2"/>
              </w:rPr>
              <w:t>分，共4分</w:t>
            </w:r>
          </w:p>
        </w:tc>
        <w:tc>
          <w:tcPr>
            <w:tcW w:w="891" w:type="dxa"/>
            <w:vAlign w:val="top"/>
          </w:tcPr>
          <w:p w14:paraId="344CC41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08F2559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3C2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continue"/>
            <w:tcBorders>
              <w:top w:val="nil"/>
              <w:bottom w:val="nil"/>
            </w:tcBorders>
            <w:vAlign w:val="top"/>
          </w:tcPr>
          <w:p w14:paraId="0588BAE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4158332A">
            <w:pPr>
              <w:pStyle w:val="20"/>
              <w:keepNext w:val="0"/>
              <w:keepLines w:val="0"/>
              <w:pageBreakBefore w:val="0"/>
              <w:widowControl w:val="0"/>
              <w:kinsoku w:val="0"/>
              <w:wordWrap/>
              <w:overflowPunct/>
              <w:topLinePunct w:val="0"/>
              <w:autoSpaceDE w:val="0"/>
              <w:autoSpaceDN w:val="0"/>
              <w:bidi w:val="0"/>
              <w:adjustRightInd w:val="0"/>
              <w:snapToGrid w:val="0"/>
              <w:spacing w:before="225" w:line="184" w:lineRule="auto"/>
              <w:ind w:left="161"/>
              <w:textAlignment w:val="baseline"/>
            </w:pPr>
            <w:r>
              <w:rPr>
                <w:spacing w:val="-6"/>
              </w:rPr>
              <w:t>11</w:t>
            </w:r>
          </w:p>
        </w:tc>
        <w:tc>
          <w:tcPr>
            <w:tcW w:w="1783" w:type="dxa"/>
            <w:vAlign w:val="top"/>
          </w:tcPr>
          <w:p w14:paraId="06B4282D">
            <w:pPr>
              <w:pStyle w:val="20"/>
              <w:keepNext w:val="0"/>
              <w:keepLines w:val="0"/>
              <w:pageBreakBefore w:val="0"/>
              <w:widowControl w:val="0"/>
              <w:kinsoku w:val="0"/>
              <w:wordWrap/>
              <w:overflowPunct/>
              <w:topLinePunct w:val="0"/>
              <w:autoSpaceDE w:val="0"/>
              <w:autoSpaceDN w:val="0"/>
              <w:bidi w:val="0"/>
              <w:adjustRightInd w:val="0"/>
              <w:snapToGrid w:val="0"/>
              <w:spacing w:before="62" w:line="205" w:lineRule="auto"/>
              <w:ind w:left="111" w:right="247"/>
              <w:textAlignment w:val="baseline"/>
            </w:pPr>
            <w:r>
              <w:rPr>
                <w:spacing w:val="-2"/>
              </w:rPr>
              <w:t>指示牌、悬挂牌、宣传栏</w:t>
            </w:r>
          </w:p>
        </w:tc>
        <w:tc>
          <w:tcPr>
            <w:tcW w:w="4569" w:type="dxa"/>
            <w:vAlign w:val="top"/>
          </w:tcPr>
          <w:p w14:paraId="2DC72FC0">
            <w:pPr>
              <w:pStyle w:val="20"/>
              <w:keepNext w:val="0"/>
              <w:keepLines w:val="0"/>
              <w:pageBreakBefore w:val="0"/>
              <w:widowControl w:val="0"/>
              <w:kinsoku w:val="0"/>
              <w:wordWrap/>
              <w:overflowPunct/>
              <w:topLinePunct w:val="0"/>
              <w:autoSpaceDE w:val="0"/>
              <w:autoSpaceDN w:val="0"/>
              <w:bidi w:val="0"/>
              <w:adjustRightInd w:val="0"/>
              <w:snapToGrid w:val="0"/>
              <w:spacing w:before="172" w:line="219" w:lineRule="auto"/>
              <w:ind w:left="103"/>
              <w:textAlignment w:val="baseline"/>
            </w:pPr>
            <w:r>
              <w:rPr>
                <w:spacing w:val="-1"/>
              </w:rPr>
              <w:t>无明显目视污渍、尘渍各得1分，共2分</w:t>
            </w:r>
          </w:p>
        </w:tc>
        <w:tc>
          <w:tcPr>
            <w:tcW w:w="891" w:type="dxa"/>
            <w:vAlign w:val="top"/>
          </w:tcPr>
          <w:p w14:paraId="5BE288A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098F9E1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488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2" w:type="dxa"/>
            <w:vMerge w:val="continue"/>
            <w:tcBorders>
              <w:top w:val="nil"/>
              <w:bottom w:val="nil"/>
            </w:tcBorders>
            <w:vAlign w:val="top"/>
          </w:tcPr>
          <w:p w14:paraId="7E01AAB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2D034CE4">
            <w:pPr>
              <w:pStyle w:val="20"/>
              <w:keepNext w:val="0"/>
              <w:keepLines w:val="0"/>
              <w:pageBreakBefore w:val="0"/>
              <w:widowControl w:val="0"/>
              <w:kinsoku w:val="0"/>
              <w:wordWrap/>
              <w:overflowPunct/>
              <w:topLinePunct w:val="0"/>
              <w:autoSpaceDE w:val="0"/>
              <w:autoSpaceDN w:val="0"/>
              <w:bidi w:val="0"/>
              <w:adjustRightInd w:val="0"/>
              <w:snapToGrid w:val="0"/>
              <w:spacing w:before="176" w:line="184" w:lineRule="auto"/>
              <w:ind w:left="161"/>
              <w:textAlignment w:val="baseline"/>
            </w:pPr>
            <w:r>
              <w:rPr>
                <w:spacing w:val="-6"/>
              </w:rPr>
              <w:t>12</w:t>
            </w:r>
          </w:p>
        </w:tc>
        <w:tc>
          <w:tcPr>
            <w:tcW w:w="1783" w:type="dxa"/>
            <w:vAlign w:val="top"/>
          </w:tcPr>
          <w:p w14:paraId="7AC9DA09">
            <w:pPr>
              <w:pStyle w:val="20"/>
              <w:keepNext w:val="0"/>
              <w:keepLines w:val="0"/>
              <w:pageBreakBefore w:val="0"/>
              <w:widowControl w:val="0"/>
              <w:kinsoku w:val="0"/>
              <w:wordWrap/>
              <w:overflowPunct/>
              <w:topLinePunct w:val="0"/>
              <w:autoSpaceDE w:val="0"/>
              <w:autoSpaceDN w:val="0"/>
              <w:bidi w:val="0"/>
              <w:adjustRightInd w:val="0"/>
              <w:snapToGrid w:val="0"/>
              <w:spacing w:before="124" w:line="220" w:lineRule="auto"/>
              <w:ind w:left="111"/>
              <w:textAlignment w:val="baseline"/>
            </w:pPr>
            <w:r>
              <w:rPr>
                <w:spacing w:val="2"/>
              </w:rPr>
              <w:t>消防设施</w:t>
            </w:r>
          </w:p>
        </w:tc>
        <w:tc>
          <w:tcPr>
            <w:tcW w:w="4569" w:type="dxa"/>
            <w:vAlign w:val="top"/>
          </w:tcPr>
          <w:p w14:paraId="6897327B">
            <w:pPr>
              <w:pStyle w:val="20"/>
              <w:keepNext w:val="0"/>
              <w:keepLines w:val="0"/>
              <w:pageBreakBefore w:val="0"/>
              <w:widowControl w:val="0"/>
              <w:kinsoku w:val="0"/>
              <w:wordWrap/>
              <w:overflowPunct/>
              <w:topLinePunct w:val="0"/>
              <w:autoSpaceDE w:val="0"/>
              <w:autoSpaceDN w:val="0"/>
              <w:bidi w:val="0"/>
              <w:adjustRightInd w:val="0"/>
              <w:snapToGrid w:val="0"/>
              <w:spacing w:before="123" w:line="219" w:lineRule="auto"/>
              <w:ind w:left="103"/>
              <w:textAlignment w:val="baseline"/>
            </w:pPr>
            <w:r>
              <w:rPr>
                <w:spacing w:val="-1"/>
              </w:rPr>
              <w:t>无明显目视污渍、尘渍各得1分，共2分</w:t>
            </w:r>
          </w:p>
        </w:tc>
        <w:tc>
          <w:tcPr>
            <w:tcW w:w="891" w:type="dxa"/>
            <w:vAlign w:val="top"/>
          </w:tcPr>
          <w:p w14:paraId="0142FB4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2979C69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2CD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continue"/>
            <w:tcBorders>
              <w:top w:val="nil"/>
              <w:bottom w:val="nil"/>
            </w:tcBorders>
            <w:vAlign w:val="top"/>
          </w:tcPr>
          <w:p w14:paraId="1EB9202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5C12C519">
            <w:pPr>
              <w:pStyle w:val="20"/>
              <w:keepNext w:val="0"/>
              <w:keepLines w:val="0"/>
              <w:pageBreakBefore w:val="0"/>
              <w:widowControl w:val="0"/>
              <w:kinsoku w:val="0"/>
              <w:wordWrap/>
              <w:overflowPunct/>
              <w:topLinePunct w:val="0"/>
              <w:autoSpaceDE w:val="0"/>
              <w:autoSpaceDN w:val="0"/>
              <w:bidi w:val="0"/>
              <w:adjustRightInd w:val="0"/>
              <w:snapToGrid w:val="0"/>
              <w:spacing w:before="226" w:line="184" w:lineRule="auto"/>
              <w:ind w:left="161"/>
              <w:textAlignment w:val="baseline"/>
            </w:pPr>
            <w:r>
              <w:rPr>
                <w:spacing w:val="-6"/>
              </w:rPr>
              <w:t>13</w:t>
            </w:r>
          </w:p>
        </w:tc>
        <w:tc>
          <w:tcPr>
            <w:tcW w:w="1783" w:type="dxa"/>
            <w:vAlign w:val="top"/>
          </w:tcPr>
          <w:p w14:paraId="22116A64">
            <w:pPr>
              <w:pStyle w:val="20"/>
              <w:keepNext w:val="0"/>
              <w:keepLines w:val="0"/>
              <w:pageBreakBefore w:val="0"/>
              <w:widowControl w:val="0"/>
              <w:kinsoku w:val="0"/>
              <w:wordWrap/>
              <w:overflowPunct/>
              <w:topLinePunct w:val="0"/>
              <w:autoSpaceDE w:val="0"/>
              <w:autoSpaceDN w:val="0"/>
              <w:bidi w:val="0"/>
              <w:adjustRightInd w:val="0"/>
              <w:snapToGrid w:val="0"/>
              <w:spacing w:before="53" w:line="209" w:lineRule="auto"/>
              <w:ind w:left="111"/>
              <w:textAlignment w:val="baseline"/>
            </w:pPr>
            <w:r>
              <w:rPr>
                <w:spacing w:val="3"/>
              </w:rPr>
              <w:t>玻璃、不锈钢、</w:t>
            </w:r>
            <w:r>
              <w:rPr>
                <w:spacing w:val="-10"/>
              </w:rPr>
              <w:t>楼梯护栏</w:t>
            </w:r>
          </w:p>
        </w:tc>
        <w:tc>
          <w:tcPr>
            <w:tcW w:w="4569" w:type="dxa"/>
            <w:vAlign w:val="top"/>
          </w:tcPr>
          <w:p w14:paraId="43D4AB61">
            <w:pPr>
              <w:pStyle w:val="20"/>
              <w:keepNext w:val="0"/>
              <w:keepLines w:val="0"/>
              <w:pageBreakBefore w:val="0"/>
              <w:widowControl w:val="0"/>
              <w:kinsoku w:val="0"/>
              <w:wordWrap/>
              <w:overflowPunct/>
              <w:topLinePunct w:val="0"/>
              <w:autoSpaceDE w:val="0"/>
              <w:autoSpaceDN w:val="0"/>
              <w:bidi w:val="0"/>
              <w:adjustRightInd w:val="0"/>
              <w:snapToGrid w:val="0"/>
              <w:spacing w:before="173" w:line="219" w:lineRule="auto"/>
              <w:ind w:left="103"/>
              <w:textAlignment w:val="baseline"/>
            </w:pPr>
            <w:r>
              <w:rPr>
                <w:spacing w:val="-1"/>
              </w:rPr>
              <w:t>无明显污渍、尘渍各得1分，2分</w:t>
            </w:r>
          </w:p>
        </w:tc>
        <w:tc>
          <w:tcPr>
            <w:tcW w:w="891" w:type="dxa"/>
            <w:vAlign w:val="top"/>
          </w:tcPr>
          <w:p w14:paraId="5C371F3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7FACE28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37CDF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52" w:type="dxa"/>
            <w:vMerge w:val="continue"/>
            <w:tcBorders>
              <w:top w:val="nil"/>
              <w:bottom w:val="nil"/>
            </w:tcBorders>
            <w:vAlign w:val="top"/>
          </w:tcPr>
          <w:p w14:paraId="226EAAC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518EA62F">
            <w:pPr>
              <w:pStyle w:val="20"/>
              <w:keepNext w:val="0"/>
              <w:keepLines w:val="0"/>
              <w:pageBreakBefore w:val="0"/>
              <w:widowControl w:val="0"/>
              <w:kinsoku w:val="0"/>
              <w:wordWrap/>
              <w:overflowPunct/>
              <w:topLinePunct w:val="0"/>
              <w:autoSpaceDE w:val="0"/>
              <w:autoSpaceDN w:val="0"/>
              <w:bidi w:val="0"/>
              <w:adjustRightInd w:val="0"/>
              <w:snapToGrid w:val="0"/>
              <w:spacing w:before="177" w:line="184" w:lineRule="auto"/>
              <w:ind w:left="161"/>
              <w:textAlignment w:val="baseline"/>
            </w:pPr>
            <w:r>
              <w:rPr>
                <w:spacing w:val="-6"/>
              </w:rPr>
              <w:t>14</w:t>
            </w:r>
          </w:p>
        </w:tc>
        <w:tc>
          <w:tcPr>
            <w:tcW w:w="1783" w:type="dxa"/>
            <w:vAlign w:val="top"/>
          </w:tcPr>
          <w:p w14:paraId="0651994C">
            <w:pPr>
              <w:pStyle w:val="20"/>
              <w:keepNext w:val="0"/>
              <w:keepLines w:val="0"/>
              <w:pageBreakBefore w:val="0"/>
              <w:widowControl w:val="0"/>
              <w:kinsoku w:val="0"/>
              <w:wordWrap/>
              <w:overflowPunct/>
              <w:topLinePunct w:val="0"/>
              <w:autoSpaceDE w:val="0"/>
              <w:autoSpaceDN w:val="0"/>
              <w:bidi w:val="0"/>
              <w:adjustRightInd w:val="0"/>
              <w:snapToGrid w:val="0"/>
              <w:spacing w:before="124" w:line="219" w:lineRule="auto"/>
              <w:ind w:left="111"/>
              <w:textAlignment w:val="baseline"/>
            </w:pPr>
            <w:r>
              <w:rPr>
                <w:spacing w:val="-2"/>
              </w:rPr>
              <w:t>垃圾桶、垃圾</w:t>
            </w:r>
          </w:p>
        </w:tc>
        <w:tc>
          <w:tcPr>
            <w:tcW w:w="4569" w:type="dxa"/>
            <w:vAlign w:val="top"/>
          </w:tcPr>
          <w:p w14:paraId="453FCEA7">
            <w:pPr>
              <w:pStyle w:val="20"/>
              <w:keepNext w:val="0"/>
              <w:keepLines w:val="0"/>
              <w:pageBreakBefore w:val="0"/>
              <w:widowControl w:val="0"/>
              <w:kinsoku w:val="0"/>
              <w:wordWrap/>
              <w:overflowPunct/>
              <w:topLinePunct w:val="0"/>
              <w:autoSpaceDE w:val="0"/>
              <w:autoSpaceDN w:val="0"/>
              <w:bidi w:val="0"/>
              <w:adjustRightInd w:val="0"/>
              <w:snapToGrid w:val="0"/>
              <w:spacing w:before="124" w:line="219" w:lineRule="auto"/>
              <w:ind w:left="103"/>
              <w:textAlignment w:val="baseline"/>
            </w:pPr>
            <w:r>
              <w:t>无臭味，垃圾日产日清，垃圾桶洁净得3分</w:t>
            </w:r>
          </w:p>
        </w:tc>
        <w:tc>
          <w:tcPr>
            <w:tcW w:w="891" w:type="dxa"/>
            <w:vAlign w:val="top"/>
          </w:tcPr>
          <w:p w14:paraId="11C505C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52E4706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D5C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52" w:type="dxa"/>
            <w:vMerge w:val="continue"/>
            <w:tcBorders>
              <w:top w:val="nil"/>
              <w:bottom w:val="nil"/>
            </w:tcBorders>
            <w:vAlign w:val="top"/>
          </w:tcPr>
          <w:p w14:paraId="3D90256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29F2EC25">
            <w:pPr>
              <w:pStyle w:val="20"/>
              <w:keepNext w:val="0"/>
              <w:keepLines w:val="0"/>
              <w:pageBreakBefore w:val="0"/>
              <w:widowControl w:val="0"/>
              <w:kinsoku w:val="0"/>
              <w:wordWrap/>
              <w:overflowPunct/>
              <w:topLinePunct w:val="0"/>
              <w:autoSpaceDE w:val="0"/>
              <w:autoSpaceDN w:val="0"/>
              <w:bidi w:val="0"/>
              <w:adjustRightInd w:val="0"/>
              <w:snapToGrid w:val="0"/>
              <w:spacing w:before="168" w:line="184" w:lineRule="auto"/>
              <w:ind w:left="161"/>
              <w:textAlignment w:val="baseline"/>
            </w:pPr>
            <w:r>
              <w:rPr>
                <w:spacing w:val="-6"/>
              </w:rPr>
              <w:t>15</w:t>
            </w:r>
          </w:p>
        </w:tc>
        <w:tc>
          <w:tcPr>
            <w:tcW w:w="1783" w:type="dxa"/>
            <w:vAlign w:val="top"/>
          </w:tcPr>
          <w:p w14:paraId="0A8693A2">
            <w:pPr>
              <w:pStyle w:val="20"/>
              <w:keepNext w:val="0"/>
              <w:keepLines w:val="0"/>
              <w:pageBreakBefore w:val="0"/>
              <w:widowControl w:val="0"/>
              <w:kinsoku w:val="0"/>
              <w:wordWrap/>
              <w:overflowPunct/>
              <w:topLinePunct w:val="0"/>
              <w:autoSpaceDE w:val="0"/>
              <w:autoSpaceDN w:val="0"/>
              <w:bidi w:val="0"/>
              <w:adjustRightInd w:val="0"/>
              <w:snapToGrid w:val="0"/>
              <w:spacing w:before="116" w:line="220" w:lineRule="auto"/>
              <w:ind w:left="111"/>
              <w:textAlignment w:val="baseline"/>
            </w:pPr>
            <w:r>
              <w:rPr>
                <w:spacing w:val="5"/>
              </w:rPr>
              <w:t>门窗</w:t>
            </w:r>
          </w:p>
        </w:tc>
        <w:tc>
          <w:tcPr>
            <w:tcW w:w="4569" w:type="dxa"/>
            <w:vAlign w:val="top"/>
          </w:tcPr>
          <w:p w14:paraId="3BEA2DAB">
            <w:pPr>
              <w:pStyle w:val="20"/>
              <w:keepNext w:val="0"/>
              <w:keepLines w:val="0"/>
              <w:pageBreakBefore w:val="0"/>
              <w:widowControl w:val="0"/>
              <w:kinsoku w:val="0"/>
              <w:wordWrap/>
              <w:overflowPunct/>
              <w:topLinePunct w:val="0"/>
              <w:autoSpaceDE w:val="0"/>
              <w:autoSpaceDN w:val="0"/>
              <w:bidi w:val="0"/>
              <w:adjustRightInd w:val="0"/>
              <w:snapToGrid w:val="0"/>
              <w:spacing w:before="115" w:line="219" w:lineRule="auto"/>
              <w:ind w:left="103"/>
              <w:textAlignment w:val="baseline"/>
            </w:pPr>
            <w:r>
              <w:rPr>
                <w:spacing w:val="-1"/>
              </w:rPr>
              <w:t>无明显目视污渍、尘渍各得1分，共2分</w:t>
            </w:r>
          </w:p>
        </w:tc>
        <w:tc>
          <w:tcPr>
            <w:tcW w:w="891" w:type="dxa"/>
            <w:vAlign w:val="top"/>
          </w:tcPr>
          <w:p w14:paraId="1E2F2BC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66B3B06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BED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continue"/>
            <w:tcBorders>
              <w:top w:val="nil"/>
              <w:bottom w:val="nil"/>
            </w:tcBorders>
            <w:vAlign w:val="top"/>
          </w:tcPr>
          <w:p w14:paraId="35A869E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7EFBF46E">
            <w:pPr>
              <w:pStyle w:val="20"/>
              <w:keepNext w:val="0"/>
              <w:keepLines w:val="0"/>
              <w:pageBreakBefore w:val="0"/>
              <w:widowControl w:val="0"/>
              <w:kinsoku w:val="0"/>
              <w:wordWrap/>
              <w:overflowPunct/>
              <w:topLinePunct w:val="0"/>
              <w:autoSpaceDE w:val="0"/>
              <w:autoSpaceDN w:val="0"/>
              <w:bidi w:val="0"/>
              <w:adjustRightInd w:val="0"/>
              <w:snapToGrid w:val="0"/>
              <w:spacing w:before="228" w:line="184" w:lineRule="auto"/>
              <w:ind w:left="161"/>
              <w:textAlignment w:val="baseline"/>
            </w:pPr>
            <w:r>
              <w:rPr>
                <w:spacing w:val="-6"/>
              </w:rPr>
              <w:t>16</w:t>
            </w:r>
          </w:p>
        </w:tc>
        <w:tc>
          <w:tcPr>
            <w:tcW w:w="1783" w:type="dxa"/>
            <w:vAlign w:val="top"/>
          </w:tcPr>
          <w:p w14:paraId="7660FAE5">
            <w:pPr>
              <w:pStyle w:val="20"/>
              <w:keepNext w:val="0"/>
              <w:keepLines w:val="0"/>
              <w:pageBreakBefore w:val="0"/>
              <w:widowControl w:val="0"/>
              <w:kinsoku w:val="0"/>
              <w:wordWrap/>
              <w:overflowPunct/>
              <w:topLinePunct w:val="0"/>
              <w:autoSpaceDE w:val="0"/>
              <w:autoSpaceDN w:val="0"/>
              <w:bidi w:val="0"/>
              <w:adjustRightInd w:val="0"/>
              <w:snapToGrid w:val="0"/>
              <w:spacing w:before="178" w:line="222" w:lineRule="auto"/>
              <w:ind w:left="111"/>
              <w:textAlignment w:val="baseline"/>
            </w:pPr>
            <w:r>
              <w:rPr>
                <w:spacing w:val="-2"/>
              </w:rPr>
              <w:t>卫生间、浴室</w:t>
            </w:r>
          </w:p>
        </w:tc>
        <w:tc>
          <w:tcPr>
            <w:tcW w:w="4569" w:type="dxa"/>
            <w:vAlign w:val="top"/>
          </w:tcPr>
          <w:p w14:paraId="5C25C60B">
            <w:pPr>
              <w:pStyle w:val="20"/>
              <w:keepNext w:val="0"/>
              <w:keepLines w:val="0"/>
              <w:pageBreakBefore w:val="0"/>
              <w:widowControl w:val="0"/>
              <w:kinsoku w:val="0"/>
              <w:wordWrap/>
              <w:overflowPunct/>
              <w:topLinePunct w:val="0"/>
              <w:autoSpaceDE w:val="0"/>
              <w:autoSpaceDN w:val="0"/>
              <w:bidi w:val="0"/>
              <w:adjustRightInd w:val="0"/>
              <w:snapToGrid w:val="0"/>
              <w:spacing w:before="64" w:line="204" w:lineRule="auto"/>
              <w:ind w:left="103" w:right="51"/>
              <w:textAlignment w:val="baseline"/>
            </w:pPr>
            <w:r>
              <w:rPr>
                <w:spacing w:val="-1"/>
              </w:rPr>
              <w:t>无明显目视污垢、污渍，无臭味、蚊虫各得</w:t>
            </w:r>
            <w:r>
              <w:rPr>
                <w:spacing w:val="1"/>
              </w:rPr>
              <w:t>1分，共4分</w:t>
            </w:r>
          </w:p>
        </w:tc>
        <w:tc>
          <w:tcPr>
            <w:tcW w:w="891" w:type="dxa"/>
            <w:vAlign w:val="top"/>
          </w:tcPr>
          <w:p w14:paraId="09C8439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6F0ACA2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F5D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52" w:type="dxa"/>
            <w:vMerge w:val="continue"/>
            <w:tcBorders>
              <w:top w:val="nil"/>
            </w:tcBorders>
            <w:vAlign w:val="top"/>
          </w:tcPr>
          <w:p w14:paraId="56682A0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3B8E9B26">
            <w:pPr>
              <w:pStyle w:val="20"/>
              <w:keepNext w:val="0"/>
              <w:keepLines w:val="0"/>
              <w:pageBreakBefore w:val="0"/>
              <w:widowControl w:val="0"/>
              <w:kinsoku w:val="0"/>
              <w:wordWrap/>
              <w:overflowPunct/>
              <w:topLinePunct w:val="0"/>
              <w:autoSpaceDE w:val="0"/>
              <w:autoSpaceDN w:val="0"/>
              <w:bidi w:val="0"/>
              <w:adjustRightInd w:val="0"/>
              <w:snapToGrid w:val="0"/>
              <w:spacing w:before="179" w:line="184" w:lineRule="auto"/>
              <w:ind w:left="161"/>
              <w:textAlignment w:val="baseline"/>
            </w:pPr>
            <w:r>
              <w:rPr>
                <w:spacing w:val="-6"/>
              </w:rPr>
              <w:t>17</w:t>
            </w:r>
          </w:p>
        </w:tc>
        <w:tc>
          <w:tcPr>
            <w:tcW w:w="1783" w:type="dxa"/>
            <w:vAlign w:val="top"/>
          </w:tcPr>
          <w:p w14:paraId="6A870B31">
            <w:pPr>
              <w:pStyle w:val="20"/>
              <w:keepNext w:val="0"/>
              <w:keepLines w:val="0"/>
              <w:pageBreakBefore w:val="0"/>
              <w:widowControl w:val="0"/>
              <w:kinsoku w:val="0"/>
              <w:wordWrap/>
              <w:overflowPunct/>
              <w:topLinePunct w:val="0"/>
              <w:autoSpaceDE w:val="0"/>
              <w:autoSpaceDN w:val="0"/>
              <w:bidi w:val="0"/>
              <w:adjustRightInd w:val="0"/>
              <w:snapToGrid w:val="0"/>
              <w:spacing w:before="126" w:line="219" w:lineRule="auto"/>
              <w:ind w:left="111"/>
              <w:textAlignment w:val="baseline"/>
            </w:pPr>
            <w:r>
              <w:rPr>
                <w:spacing w:val="2"/>
              </w:rPr>
              <w:t>防疫消杀</w:t>
            </w:r>
          </w:p>
        </w:tc>
        <w:tc>
          <w:tcPr>
            <w:tcW w:w="4569" w:type="dxa"/>
            <w:vAlign w:val="top"/>
          </w:tcPr>
          <w:p w14:paraId="52A1FAA7">
            <w:pPr>
              <w:pStyle w:val="20"/>
              <w:keepNext w:val="0"/>
              <w:keepLines w:val="0"/>
              <w:pageBreakBefore w:val="0"/>
              <w:widowControl w:val="0"/>
              <w:kinsoku w:val="0"/>
              <w:wordWrap/>
              <w:overflowPunct/>
              <w:topLinePunct w:val="0"/>
              <w:autoSpaceDE w:val="0"/>
              <w:autoSpaceDN w:val="0"/>
              <w:bidi w:val="0"/>
              <w:adjustRightInd w:val="0"/>
              <w:snapToGrid w:val="0"/>
              <w:spacing w:before="126" w:line="219" w:lineRule="auto"/>
              <w:ind w:left="103"/>
              <w:textAlignment w:val="baseline"/>
            </w:pPr>
            <w:r>
              <w:rPr>
                <w:spacing w:val="-1"/>
              </w:rPr>
              <w:t>按要求次数、质量消杀各得1分，共2分</w:t>
            </w:r>
          </w:p>
        </w:tc>
        <w:tc>
          <w:tcPr>
            <w:tcW w:w="891" w:type="dxa"/>
            <w:vAlign w:val="top"/>
          </w:tcPr>
          <w:p w14:paraId="6942A61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3808C58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735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52" w:type="dxa"/>
            <w:vMerge w:val="restart"/>
            <w:tcBorders>
              <w:bottom w:val="nil"/>
            </w:tcBorders>
            <w:vAlign w:val="top"/>
          </w:tcPr>
          <w:p w14:paraId="76BBB221">
            <w:pPr>
              <w:pStyle w:val="20"/>
              <w:keepNext w:val="0"/>
              <w:keepLines w:val="0"/>
              <w:pageBreakBefore w:val="0"/>
              <w:widowControl w:val="0"/>
              <w:kinsoku w:val="0"/>
              <w:wordWrap/>
              <w:overflowPunct/>
              <w:topLinePunct w:val="0"/>
              <w:autoSpaceDE w:val="0"/>
              <w:autoSpaceDN w:val="0"/>
              <w:bidi w:val="0"/>
              <w:adjustRightInd w:val="0"/>
              <w:snapToGrid w:val="0"/>
              <w:spacing w:before="298" w:line="233" w:lineRule="auto"/>
              <w:ind w:left="215" w:right="209"/>
              <w:textAlignment w:val="baseline"/>
            </w:pPr>
            <w:r>
              <w:rPr>
                <w:spacing w:val="4"/>
              </w:rPr>
              <w:t>男生</w:t>
            </w:r>
            <w:r>
              <w:rPr>
                <w:spacing w:val="-5"/>
              </w:rPr>
              <w:t>宿舍</w:t>
            </w:r>
            <w:r>
              <w:rPr>
                <w:spacing w:val="1"/>
              </w:rPr>
              <w:t>(21</w:t>
            </w:r>
            <w:r>
              <w:rPr>
                <w:spacing w:val="19"/>
              </w:rPr>
              <w:t>分)</w:t>
            </w:r>
          </w:p>
        </w:tc>
        <w:tc>
          <w:tcPr>
            <w:tcW w:w="617" w:type="dxa"/>
            <w:vAlign w:val="top"/>
          </w:tcPr>
          <w:p w14:paraId="0427B2E0">
            <w:pPr>
              <w:pStyle w:val="20"/>
              <w:keepNext w:val="0"/>
              <w:keepLines w:val="0"/>
              <w:pageBreakBefore w:val="0"/>
              <w:widowControl w:val="0"/>
              <w:kinsoku w:val="0"/>
              <w:wordWrap/>
              <w:overflowPunct/>
              <w:topLinePunct w:val="0"/>
              <w:autoSpaceDE w:val="0"/>
              <w:autoSpaceDN w:val="0"/>
              <w:bidi w:val="0"/>
              <w:adjustRightInd w:val="0"/>
              <w:snapToGrid w:val="0"/>
              <w:spacing w:before="220" w:line="184" w:lineRule="auto"/>
              <w:ind w:left="161"/>
              <w:textAlignment w:val="baseline"/>
            </w:pPr>
            <w:r>
              <w:rPr>
                <w:spacing w:val="-6"/>
              </w:rPr>
              <w:t>18</w:t>
            </w:r>
          </w:p>
        </w:tc>
        <w:tc>
          <w:tcPr>
            <w:tcW w:w="1783" w:type="dxa"/>
            <w:vAlign w:val="top"/>
          </w:tcPr>
          <w:p w14:paraId="4B6A2056">
            <w:pPr>
              <w:pStyle w:val="20"/>
              <w:keepNext w:val="0"/>
              <w:keepLines w:val="0"/>
              <w:pageBreakBefore w:val="0"/>
              <w:widowControl w:val="0"/>
              <w:kinsoku w:val="0"/>
              <w:wordWrap/>
              <w:overflowPunct/>
              <w:topLinePunct w:val="0"/>
              <w:autoSpaceDE w:val="0"/>
              <w:autoSpaceDN w:val="0"/>
              <w:bidi w:val="0"/>
              <w:adjustRightInd w:val="0"/>
              <w:snapToGrid w:val="0"/>
              <w:spacing w:before="49" w:line="207" w:lineRule="auto"/>
              <w:ind w:left="111" w:right="35"/>
              <w:textAlignment w:val="baseline"/>
            </w:pPr>
            <w:r>
              <w:rPr>
                <w:spacing w:val="-2"/>
              </w:rPr>
              <w:t>地面、墙面、天</w:t>
            </w:r>
            <w:r>
              <w:rPr>
                <w:spacing w:val="3"/>
              </w:rPr>
              <w:t>花、天棚</w:t>
            </w:r>
          </w:p>
        </w:tc>
        <w:tc>
          <w:tcPr>
            <w:tcW w:w="4569" w:type="dxa"/>
            <w:vAlign w:val="top"/>
          </w:tcPr>
          <w:p w14:paraId="039FCCC6">
            <w:pPr>
              <w:pStyle w:val="20"/>
              <w:keepNext w:val="0"/>
              <w:keepLines w:val="0"/>
              <w:pageBreakBefore w:val="0"/>
              <w:widowControl w:val="0"/>
              <w:kinsoku w:val="0"/>
              <w:wordWrap/>
              <w:overflowPunct/>
              <w:topLinePunct w:val="0"/>
              <w:autoSpaceDE w:val="0"/>
              <w:autoSpaceDN w:val="0"/>
              <w:bidi w:val="0"/>
              <w:adjustRightInd w:val="0"/>
              <w:snapToGrid w:val="0"/>
              <w:spacing w:before="26" w:line="217" w:lineRule="auto"/>
              <w:ind w:left="103" w:right="120"/>
              <w:textAlignment w:val="baseline"/>
            </w:pPr>
            <w:r>
              <w:rPr>
                <w:spacing w:val="1"/>
              </w:rPr>
              <w:t>保持干净，无垃圾、无杂物、无蛛网各得1</w:t>
            </w:r>
            <w:r>
              <w:rPr>
                <w:spacing w:val="2"/>
              </w:rPr>
              <w:t>分，共4分</w:t>
            </w:r>
          </w:p>
        </w:tc>
        <w:tc>
          <w:tcPr>
            <w:tcW w:w="891" w:type="dxa"/>
            <w:vAlign w:val="top"/>
          </w:tcPr>
          <w:p w14:paraId="3531720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3FC7288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339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52" w:type="dxa"/>
            <w:vMerge w:val="continue"/>
            <w:tcBorders>
              <w:top w:val="nil"/>
              <w:bottom w:val="nil"/>
            </w:tcBorders>
            <w:vAlign w:val="top"/>
          </w:tcPr>
          <w:p w14:paraId="303FC39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0CF1BA34">
            <w:pPr>
              <w:pStyle w:val="20"/>
              <w:keepNext w:val="0"/>
              <w:keepLines w:val="0"/>
              <w:pageBreakBefore w:val="0"/>
              <w:widowControl w:val="0"/>
              <w:kinsoku w:val="0"/>
              <w:wordWrap/>
              <w:overflowPunct/>
              <w:topLinePunct w:val="0"/>
              <w:autoSpaceDE w:val="0"/>
              <w:autoSpaceDN w:val="0"/>
              <w:bidi w:val="0"/>
              <w:adjustRightInd w:val="0"/>
              <w:snapToGrid w:val="0"/>
              <w:spacing w:before="230" w:line="184" w:lineRule="auto"/>
              <w:ind w:left="161"/>
              <w:textAlignment w:val="baseline"/>
            </w:pPr>
            <w:r>
              <w:rPr>
                <w:spacing w:val="-6"/>
              </w:rPr>
              <w:t>19</w:t>
            </w:r>
          </w:p>
        </w:tc>
        <w:tc>
          <w:tcPr>
            <w:tcW w:w="1783" w:type="dxa"/>
            <w:vAlign w:val="top"/>
          </w:tcPr>
          <w:p w14:paraId="56B5603F">
            <w:pPr>
              <w:pStyle w:val="20"/>
              <w:keepNext w:val="0"/>
              <w:keepLines w:val="0"/>
              <w:pageBreakBefore w:val="0"/>
              <w:widowControl w:val="0"/>
              <w:kinsoku w:val="0"/>
              <w:wordWrap/>
              <w:overflowPunct/>
              <w:topLinePunct w:val="0"/>
              <w:autoSpaceDE w:val="0"/>
              <w:autoSpaceDN w:val="0"/>
              <w:bidi w:val="0"/>
              <w:adjustRightInd w:val="0"/>
              <w:snapToGrid w:val="0"/>
              <w:spacing w:before="67" w:line="203" w:lineRule="auto"/>
              <w:ind w:left="111" w:right="247"/>
              <w:textAlignment w:val="baseline"/>
            </w:pPr>
            <w:r>
              <w:rPr>
                <w:spacing w:val="-2"/>
              </w:rPr>
              <w:t>指示牌、悬挂牌、宣传栏</w:t>
            </w:r>
          </w:p>
        </w:tc>
        <w:tc>
          <w:tcPr>
            <w:tcW w:w="4569" w:type="dxa"/>
            <w:vAlign w:val="top"/>
          </w:tcPr>
          <w:p w14:paraId="4952BA75">
            <w:pPr>
              <w:pStyle w:val="20"/>
              <w:keepNext w:val="0"/>
              <w:keepLines w:val="0"/>
              <w:pageBreakBefore w:val="0"/>
              <w:widowControl w:val="0"/>
              <w:kinsoku w:val="0"/>
              <w:wordWrap/>
              <w:overflowPunct/>
              <w:topLinePunct w:val="0"/>
              <w:autoSpaceDE w:val="0"/>
              <w:autoSpaceDN w:val="0"/>
              <w:bidi w:val="0"/>
              <w:adjustRightInd w:val="0"/>
              <w:snapToGrid w:val="0"/>
              <w:spacing w:before="177" w:line="219" w:lineRule="auto"/>
              <w:ind w:left="103"/>
              <w:textAlignment w:val="baseline"/>
            </w:pPr>
            <w:r>
              <w:rPr>
                <w:spacing w:val="-1"/>
              </w:rPr>
              <w:t>无明显目视污渍、尘渍各得1分，共2分</w:t>
            </w:r>
          </w:p>
        </w:tc>
        <w:tc>
          <w:tcPr>
            <w:tcW w:w="891" w:type="dxa"/>
            <w:vAlign w:val="top"/>
          </w:tcPr>
          <w:p w14:paraId="7DA22B4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38F770E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AB8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52" w:type="dxa"/>
            <w:vMerge w:val="continue"/>
            <w:tcBorders>
              <w:top w:val="nil"/>
            </w:tcBorders>
            <w:vAlign w:val="top"/>
          </w:tcPr>
          <w:p w14:paraId="4399F0B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7" w:type="dxa"/>
            <w:vAlign w:val="top"/>
          </w:tcPr>
          <w:p w14:paraId="6ACFB641">
            <w:pPr>
              <w:pStyle w:val="20"/>
              <w:keepNext w:val="0"/>
              <w:keepLines w:val="0"/>
              <w:pageBreakBefore w:val="0"/>
              <w:widowControl w:val="0"/>
              <w:kinsoku w:val="0"/>
              <w:wordWrap/>
              <w:overflowPunct/>
              <w:topLinePunct w:val="0"/>
              <w:autoSpaceDE w:val="0"/>
              <w:autoSpaceDN w:val="0"/>
              <w:bidi w:val="0"/>
              <w:adjustRightInd w:val="0"/>
              <w:snapToGrid w:val="0"/>
              <w:spacing w:before="212" w:line="183" w:lineRule="auto"/>
              <w:ind w:left="161"/>
              <w:textAlignment w:val="baseline"/>
            </w:pPr>
            <w:r>
              <w:rPr>
                <w:spacing w:val="-3"/>
              </w:rPr>
              <w:t>20</w:t>
            </w:r>
          </w:p>
        </w:tc>
        <w:tc>
          <w:tcPr>
            <w:tcW w:w="1783" w:type="dxa"/>
            <w:vAlign w:val="top"/>
          </w:tcPr>
          <w:p w14:paraId="7B16986A">
            <w:pPr>
              <w:pStyle w:val="20"/>
              <w:keepNext w:val="0"/>
              <w:keepLines w:val="0"/>
              <w:pageBreakBefore w:val="0"/>
              <w:widowControl w:val="0"/>
              <w:kinsoku w:val="0"/>
              <w:wordWrap/>
              <w:overflowPunct/>
              <w:topLinePunct w:val="0"/>
              <w:autoSpaceDE w:val="0"/>
              <w:autoSpaceDN w:val="0"/>
              <w:bidi w:val="0"/>
              <w:adjustRightInd w:val="0"/>
              <w:snapToGrid w:val="0"/>
              <w:spacing w:before="159" w:line="220" w:lineRule="auto"/>
              <w:ind w:left="111"/>
              <w:textAlignment w:val="baseline"/>
            </w:pPr>
            <w:r>
              <w:rPr>
                <w:spacing w:val="2"/>
              </w:rPr>
              <w:t>消防设施</w:t>
            </w:r>
          </w:p>
        </w:tc>
        <w:tc>
          <w:tcPr>
            <w:tcW w:w="4569" w:type="dxa"/>
            <w:vAlign w:val="top"/>
          </w:tcPr>
          <w:p w14:paraId="060A12A7">
            <w:pPr>
              <w:pStyle w:val="20"/>
              <w:keepNext w:val="0"/>
              <w:keepLines w:val="0"/>
              <w:pageBreakBefore w:val="0"/>
              <w:widowControl w:val="0"/>
              <w:kinsoku w:val="0"/>
              <w:wordWrap/>
              <w:overflowPunct/>
              <w:topLinePunct w:val="0"/>
              <w:autoSpaceDE w:val="0"/>
              <w:autoSpaceDN w:val="0"/>
              <w:bidi w:val="0"/>
              <w:adjustRightInd w:val="0"/>
              <w:snapToGrid w:val="0"/>
              <w:spacing w:before="158" w:line="219" w:lineRule="auto"/>
              <w:ind w:left="103"/>
              <w:textAlignment w:val="baseline"/>
            </w:pPr>
            <w:r>
              <w:rPr>
                <w:spacing w:val="-1"/>
              </w:rPr>
              <w:t>无明显目视污渍、尘渍各得1分，共2分</w:t>
            </w:r>
          </w:p>
        </w:tc>
        <w:tc>
          <w:tcPr>
            <w:tcW w:w="891" w:type="dxa"/>
            <w:vAlign w:val="top"/>
          </w:tcPr>
          <w:p w14:paraId="39CD1D4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64" w:type="dxa"/>
            <w:vAlign w:val="top"/>
          </w:tcPr>
          <w:p w14:paraId="059BDF5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bl>
    <w:p w14:paraId="5713342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hAnsi="Arial" w:eastAsia="Arial" w:cs="Arial"/>
          <w:sz w:val="21"/>
          <w:szCs w:val="21"/>
        </w:rPr>
        <w:sectPr>
          <w:pgSz w:w="11910" w:h="16840"/>
          <w:pgMar w:top="1440" w:right="1080" w:bottom="1440" w:left="1080" w:header="0" w:footer="0" w:gutter="0"/>
          <w:cols w:space="720" w:num="1"/>
        </w:sectPr>
      </w:pPr>
    </w:p>
    <w:p w14:paraId="37595F2D">
      <w:pPr>
        <w:keepNext w:val="0"/>
        <w:keepLines w:val="0"/>
        <w:pageBreakBefore w:val="0"/>
        <w:widowControl w:val="0"/>
        <w:kinsoku w:val="0"/>
        <w:wordWrap/>
        <w:overflowPunct/>
        <w:topLinePunct w:val="0"/>
        <w:autoSpaceDE w:val="0"/>
        <w:autoSpaceDN w:val="0"/>
        <w:bidi w:val="0"/>
        <w:adjustRightInd w:val="0"/>
        <w:snapToGrid w:val="0"/>
        <w:spacing w:before="19"/>
        <w:textAlignment w:val="baseline"/>
      </w:pPr>
    </w:p>
    <w:tbl>
      <w:tblPr>
        <w:tblStyle w:val="21"/>
        <w:tblW w:w="95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616"/>
        <w:gridCol w:w="1763"/>
        <w:gridCol w:w="4499"/>
        <w:gridCol w:w="886"/>
        <w:gridCol w:w="849"/>
      </w:tblGrid>
      <w:tr w14:paraId="57FE9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4" w:type="dxa"/>
            <w:vMerge w:val="restart"/>
            <w:tcBorders>
              <w:bottom w:val="nil"/>
            </w:tcBorders>
            <w:vAlign w:val="top"/>
          </w:tcPr>
          <w:p w14:paraId="41ABF7F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6FAA5943">
            <w:pPr>
              <w:pStyle w:val="20"/>
              <w:keepNext w:val="0"/>
              <w:keepLines w:val="0"/>
              <w:pageBreakBefore w:val="0"/>
              <w:widowControl w:val="0"/>
              <w:kinsoku w:val="0"/>
              <w:wordWrap/>
              <w:overflowPunct/>
              <w:topLinePunct w:val="0"/>
              <w:autoSpaceDE w:val="0"/>
              <w:autoSpaceDN w:val="0"/>
              <w:bidi w:val="0"/>
              <w:adjustRightInd w:val="0"/>
              <w:snapToGrid w:val="0"/>
              <w:spacing w:before="226" w:line="184" w:lineRule="auto"/>
              <w:ind w:left="170"/>
              <w:textAlignment w:val="baseline"/>
            </w:pPr>
            <w:r>
              <w:rPr>
                <w:spacing w:val="-3"/>
              </w:rPr>
              <w:t>21</w:t>
            </w:r>
          </w:p>
        </w:tc>
        <w:tc>
          <w:tcPr>
            <w:tcW w:w="1763" w:type="dxa"/>
            <w:vAlign w:val="top"/>
          </w:tcPr>
          <w:p w14:paraId="1EF9DFE3">
            <w:pPr>
              <w:pStyle w:val="20"/>
              <w:keepNext w:val="0"/>
              <w:keepLines w:val="0"/>
              <w:pageBreakBefore w:val="0"/>
              <w:widowControl w:val="0"/>
              <w:kinsoku w:val="0"/>
              <w:wordWrap/>
              <w:overflowPunct/>
              <w:topLinePunct w:val="0"/>
              <w:autoSpaceDE w:val="0"/>
              <w:autoSpaceDN w:val="0"/>
              <w:bidi w:val="0"/>
              <w:adjustRightInd w:val="0"/>
              <w:snapToGrid w:val="0"/>
              <w:spacing w:before="24" w:line="224" w:lineRule="auto"/>
              <w:ind w:left="111"/>
              <w:textAlignment w:val="baseline"/>
            </w:pPr>
            <w:r>
              <w:rPr>
                <w:spacing w:val="5"/>
              </w:rPr>
              <w:t>玻璃、不锈钢、</w:t>
            </w:r>
            <w:r>
              <w:rPr>
                <w:spacing w:val="-9"/>
              </w:rPr>
              <w:t>楼梯护栏</w:t>
            </w:r>
          </w:p>
        </w:tc>
        <w:tc>
          <w:tcPr>
            <w:tcW w:w="4499" w:type="dxa"/>
            <w:vAlign w:val="top"/>
          </w:tcPr>
          <w:p w14:paraId="5A6E3B61">
            <w:pPr>
              <w:pStyle w:val="20"/>
              <w:keepNext w:val="0"/>
              <w:keepLines w:val="0"/>
              <w:pageBreakBefore w:val="0"/>
              <w:widowControl w:val="0"/>
              <w:kinsoku w:val="0"/>
              <w:wordWrap/>
              <w:overflowPunct/>
              <w:topLinePunct w:val="0"/>
              <w:autoSpaceDE w:val="0"/>
              <w:autoSpaceDN w:val="0"/>
              <w:bidi w:val="0"/>
              <w:adjustRightInd w:val="0"/>
              <w:snapToGrid w:val="0"/>
              <w:spacing w:before="173" w:line="219" w:lineRule="auto"/>
              <w:ind w:left="103"/>
              <w:textAlignment w:val="baseline"/>
            </w:pPr>
            <w:r>
              <w:rPr>
                <w:spacing w:val="-1"/>
              </w:rPr>
              <w:t>无明显污渍、尘渍各得1分，2分</w:t>
            </w:r>
          </w:p>
        </w:tc>
        <w:tc>
          <w:tcPr>
            <w:tcW w:w="886" w:type="dxa"/>
            <w:vAlign w:val="top"/>
          </w:tcPr>
          <w:p w14:paraId="50A0053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2E1F57C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FED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24" w:type="dxa"/>
            <w:vMerge w:val="continue"/>
            <w:tcBorders>
              <w:top w:val="nil"/>
              <w:bottom w:val="nil"/>
            </w:tcBorders>
            <w:vAlign w:val="top"/>
          </w:tcPr>
          <w:p w14:paraId="23FEED8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22828751">
            <w:pPr>
              <w:pStyle w:val="20"/>
              <w:keepNext w:val="0"/>
              <w:keepLines w:val="0"/>
              <w:pageBreakBefore w:val="0"/>
              <w:widowControl w:val="0"/>
              <w:kinsoku w:val="0"/>
              <w:wordWrap/>
              <w:overflowPunct/>
              <w:topLinePunct w:val="0"/>
              <w:autoSpaceDE w:val="0"/>
              <w:autoSpaceDN w:val="0"/>
              <w:bidi w:val="0"/>
              <w:adjustRightInd w:val="0"/>
              <w:snapToGrid w:val="0"/>
              <w:spacing w:before="213" w:line="183" w:lineRule="auto"/>
              <w:ind w:left="170"/>
              <w:textAlignment w:val="baseline"/>
            </w:pPr>
            <w:r>
              <w:rPr>
                <w:spacing w:val="-3"/>
              </w:rPr>
              <w:t>22</w:t>
            </w:r>
          </w:p>
        </w:tc>
        <w:tc>
          <w:tcPr>
            <w:tcW w:w="1763" w:type="dxa"/>
            <w:vAlign w:val="top"/>
          </w:tcPr>
          <w:p w14:paraId="213A3295">
            <w:pPr>
              <w:pStyle w:val="20"/>
              <w:keepNext w:val="0"/>
              <w:keepLines w:val="0"/>
              <w:pageBreakBefore w:val="0"/>
              <w:widowControl w:val="0"/>
              <w:kinsoku w:val="0"/>
              <w:wordWrap/>
              <w:overflowPunct/>
              <w:topLinePunct w:val="0"/>
              <w:autoSpaceDE w:val="0"/>
              <w:autoSpaceDN w:val="0"/>
              <w:bidi w:val="0"/>
              <w:adjustRightInd w:val="0"/>
              <w:snapToGrid w:val="0"/>
              <w:spacing w:before="159" w:line="219" w:lineRule="auto"/>
              <w:ind w:left="111"/>
              <w:textAlignment w:val="baseline"/>
            </w:pPr>
            <w:r>
              <w:rPr>
                <w:spacing w:val="-2"/>
              </w:rPr>
              <w:t>垃圾桶、垃圾</w:t>
            </w:r>
          </w:p>
        </w:tc>
        <w:tc>
          <w:tcPr>
            <w:tcW w:w="4499" w:type="dxa"/>
            <w:vAlign w:val="top"/>
          </w:tcPr>
          <w:p w14:paraId="2F33DF2D">
            <w:pPr>
              <w:pStyle w:val="20"/>
              <w:keepNext w:val="0"/>
              <w:keepLines w:val="0"/>
              <w:pageBreakBefore w:val="0"/>
              <w:widowControl w:val="0"/>
              <w:kinsoku w:val="0"/>
              <w:wordWrap/>
              <w:overflowPunct/>
              <w:topLinePunct w:val="0"/>
              <w:autoSpaceDE w:val="0"/>
              <w:autoSpaceDN w:val="0"/>
              <w:bidi w:val="0"/>
              <w:adjustRightInd w:val="0"/>
              <w:snapToGrid w:val="0"/>
              <w:spacing w:before="159" w:line="219" w:lineRule="auto"/>
              <w:ind w:left="103"/>
              <w:textAlignment w:val="baseline"/>
            </w:pPr>
            <w:r>
              <w:rPr>
                <w:spacing w:val="-1"/>
              </w:rPr>
              <w:t>无臭味，垃圾日产日清，垃圾桶洁净得3分</w:t>
            </w:r>
          </w:p>
        </w:tc>
        <w:tc>
          <w:tcPr>
            <w:tcW w:w="886" w:type="dxa"/>
            <w:vAlign w:val="top"/>
          </w:tcPr>
          <w:p w14:paraId="5FFA586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075AB3E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3AE1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bottom w:val="nil"/>
            </w:tcBorders>
            <w:vAlign w:val="top"/>
          </w:tcPr>
          <w:p w14:paraId="27F2B66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229BAA7E">
            <w:pPr>
              <w:pStyle w:val="20"/>
              <w:keepNext w:val="0"/>
              <w:keepLines w:val="0"/>
              <w:pageBreakBefore w:val="0"/>
              <w:widowControl w:val="0"/>
              <w:kinsoku w:val="0"/>
              <w:wordWrap/>
              <w:overflowPunct/>
              <w:topLinePunct w:val="0"/>
              <w:autoSpaceDE w:val="0"/>
              <w:autoSpaceDN w:val="0"/>
              <w:bidi w:val="0"/>
              <w:adjustRightInd w:val="0"/>
              <w:snapToGrid w:val="0"/>
              <w:spacing w:before="204" w:line="183" w:lineRule="auto"/>
              <w:ind w:left="170"/>
              <w:textAlignment w:val="baseline"/>
            </w:pPr>
            <w:r>
              <w:rPr>
                <w:spacing w:val="-3"/>
              </w:rPr>
              <w:t>23</w:t>
            </w:r>
          </w:p>
        </w:tc>
        <w:tc>
          <w:tcPr>
            <w:tcW w:w="1763" w:type="dxa"/>
            <w:vAlign w:val="top"/>
          </w:tcPr>
          <w:p w14:paraId="0FEB5441">
            <w:pPr>
              <w:pStyle w:val="20"/>
              <w:keepNext w:val="0"/>
              <w:keepLines w:val="0"/>
              <w:pageBreakBefore w:val="0"/>
              <w:widowControl w:val="0"/>
              <w:kinsoku w:val="0"/>
              <w:wordWrap/>
              <w:overflowPunct/>
              <w:topLinePunct w:val="0"/>
              <w:autoSpaceDE w:val="0"/>
              <w:autoSpaceDN w:val="0"/>
              <w:bidi w:val="0"/>
              <w:adjustRightInd w:val="0"/>
              <w:snapToGrid w:val="0"/>
              <w:spacing w:before="151" w:line="220" w:lineRule="auto"/>
              <w:ind w:left="111"/>
              <w:textAlignment w:val="baseline"/>
            </w:pPr>
            <w:r>
              <w:rPr>
                <w:spacing w:val="5"/>
              </w:rPr>
              <w:t>门窗</w:t>
            </w:r>
          </w:p>
        </w:tc>
        <w:tc>
          <w:tcPr>
            <w:tcW w:w="4499" w:type="dxa"/>
            <w:vAlign w:val="top"/>
          </w:tcPr>
          <w:p w14:paraId="50BD923D">
            <w:pPr>
              <w:pStyle w:val="20"/>
              <w:keepNext w:val="0"/>
              <w:keepLines w:val="0"/>
              <w:pageBreakBefore w:val="0"/>
              <w:widowControl w:val="0"/>
              <w:kinsoku w:val="0"/>
              <w:wordWrap/>
              <w:overflowPunct/>
              <w:topLinePunct w:val="0"/>
              <w:autoSpaceDE w:val="0"/>
              <w:autoSpaceDN w:val="0"/>
              <w:bidi w:val="0"/>
              <w:adjustRightInd w:val="0"/>
              <w:snapToGrid w:val="0"/>
              <w:spacing w:before="150" w:line="219" w:lineRule="auto"/>
              <w:ind w:left="103"/>
              <w:textAlignment w:val="baseline"/>
            </w:pPr>
            <w:r>
              <w:rPr>
                <w:spacing w:val="-1"/>
              </w:rPr>
              <w:t>无明显目视污渍、尘渍各得1分，共2分</w:t>
            </w:r>
          </w:p>
        </w:tc>
        <w:tc>
          <w:tcPr>
            <w:tcW w:w="886" w:type="dxa"/>
            <w:vAlign w:val="top"/>
          </w:tcPr>
          <w:p w14:paraId="57E701A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23002EB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618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24" w:type="dxa"/>
            <w:vMerge w:val="continue"/>
            <w:tcBorders>
              <w:top w:val="nil"/>
              <w:bottom w:val="nil"/>
            </w:tcBorders>
            <w:vAlign w:val="top"/>
          </w:tcPr>
          <w:p w14:paraId="0B69156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33BD61AC">
            <w:pPr>
              <w:pStyle w:val="20"/>
              <w:keepNext w:val="0"/>
              <w:keepLines w:val="0"/>
              <w:pageBreakBefore w:val="0"/>
              <w:widowControl w:val="0"/>
              <w:kinsoku w:val="0"/>
              <w:wordWrap/>
              <w:overflowPunct/>
              <w:topLinePunct w:val="0"/>
              <w:autoSpaceDE w:val="0"/>
              <w:autoSpaceDN w:val="0"/>
              <w:bidi w:val="0"/>
              <w:adjustRightInd w:val="0"/>
              <w:snapToGrid w:val="0"/>
              <w:spacing w:before="224" w:line="183" w:lineRule="auto"/>
              <w:ind w:left="170"/>
              <w:textAlignment w:val="baseline"/>
            </w:pPr>
            <w:r>
              <w:rPr>
                <w:spacing w:val="-3"/>
              </w:rPr>
              <w:t>24</w:t>
            </w:r>
          </w:p>
        </w:tc>
        <w:tc>
          <w:tcPr>
            <w:tcW w:w="1763" w:type="dxa"/>
            <w:vAlign w:val="top"/>
          </w:tcPr>
          <w:p w14:paraId="22E5B058">
            <w:pPr>
              <w:pStyle w:val="20"/>
              <w:keepNext w:val="0"/>
              <w:keepLines w:val="0"/>
              <w:pageBreakBefore w:val="0"/>
              <w:widowControl w:val="0"/>
              <w:kinsoku w:val="0"/>
              <w:wordWrap/>
              <w:overflowPunct/>
              <w:topLinePunct w:val="0"/>
              <w:autoSpaceDE w:val="0"/>
              <w:autoSpaceDN w:val="0"/>
              <w:bidi w:val="0"/>
              <w:adjustRightInd w:val="0"/>
              <w:snapToGrid w:val="0"/>
              <w:spacing w:before="174" w:line="222" w:lineRule="auto"/>
              <w:ind w:left="111"/>
              <w:textAlignment w:val="baseline"/>
            </w:pPr>
            <w:r>
              <w:rPr>
                <w:spacing w:val="-2"/>
              </w:rPr>
              <w:t>卫生间、浴室</w:t>
            </w:r>
          </w:p>
        </w:tc>
        <w:tc>
          <w:tcPr>
            <w:tcW w:w="4499" w:type="dxa"/>
            <w:vAlign w:val="top"/>
          </w:tcPr>
          <w:p w14:paraId="458FAD19">
            <w:pPr>
              <w:pStyle w:val="20"/>
              <w:keepNext w:val="0"/>
              <w:keepLines w:val="0"/>
              <w:pageBreakBefore w:val="0"/>
              <w:widowControl w:val="0"/>
              <w:kinsoku w:val="0"/>
              <w:wordWrap/>
              <w:overflowPunct/>
              <w:topLinePunct w:val="0"/>
              <w:autoSpaceDE w:val="0"/>
              <w:autoSpaceDN w:val="0"/>
              <w:bidi w:val="0"/>
              <w:adjustRightInd w:val="0"/>
              <w:snapToGrid w:val="0"/>
              <w:spacing w:before="51" w:line="210" w:lineRule="auto"/>
              <w:ind w:left="103" w:right="60"/>
              <w:textAlignment w:val="baseline"/>
            </w:pPr>
            <w:r>
              <w:rPr>
                <w:spacing w:val="-1"/>
              </w:rPr>
              <w:t>无明显目视污垢、污渍，无臭味、蚊虫各得</w:t>
            </w:r>
            <w:r>
              <w:rPr>
                <w:spacing w:val="1"/>
              </w:rPr>
              <w:t>1分，共4分</w:t>
            </w:r>
          </w:p>
        </w:tc>
        <w:tc>
          <w:tcPr>
            <w:tcW w:w="886" w:type="dxa"/>
            <w:vAlign w:val="top"/>
          </w:tcPr>
          <w:p w14:paraId="3AF1179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625F3DF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E6A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tcBorders>
            <w:vAlign w:val="top"/>
          </w:tcPr>
          <w:p w14:paraId="69F7E11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08C65030">
            <w:pPr>
              <w:pStyle w:val="20"/>
              <w:keepNext w:val="0"/>
              <w:keepLines w:val="0"/>
              <w:pageBreakBefore w:val="0"/>
              <w:widowControl w:val="0"/>
              <w:kinsoku w:val="0"/>
              <w:wordWrap/>
              <w:overflowPunct/>
              <w:topLinePunct w:val="0"/>
              <w:autoSpaceDE w:val="0"/>
              <w:autoSpaceDN w:val="0"/>
              <w:bidi w:val="0"/>
              <w:adjustRightInd w:val="0"/>
              <w:snapToGrid w:val="0"/>
              <w:spacing w:before="205" w:line="183" w:lineRule="auto"/>
              <w:ind w:left="170"/>
              <w:textAlignment w:val="baseline"/>
            </w:pPr>
            <w:r>
              <w:rPr>
                <w:spacing w:val="-3"/>
              </w:rPr>
              <w:t>25</w:t>
            </w:r>
          </w:p>
        </w:tc>
        <w:tc>
          <w:tcPr>
            <w:tcW w:w="1763" w:type="dxa"/>
            <w:vAlign w:val="top"/>
          </w:tcPr>
          <w:p w14:paraId="59292661">
            <w:pPr>
              <w:pStyle w:val="20"/>
              <w:keepNext w:val="0"/>
              <w:keepLines w:val="0"/>
              <w:pageBreakBefore w:val="0"/>
              <w:widowControl w:val="0"/>
              <w:kinsoku w:val="0"/>
              <w:wordWrap/>
              <w:overflowPunct/>
              <w:topLinePunct w:val="0"/>
              <w:autoSpaceDE w:val="0"/>
              <w:autoSpaceDN w:val="0"/>
              <w:bidi w:val="0"/>
              <w:adjustRightInd w:val="0"/>
              <w:snapToGrid w:val="0"/>
              <w:spacing w:before="151" w:line="219" w:lineRule="auto"/>
              <w:ind w:left="111"/>
              <w:textAlignment w:val="baseline"/>
            </w:pPr>
            <w:r>
              <w:rPr>
                <w:spacing w:val="2"/>
              </w:rPr>
              <w:t>防疫消杀</w:t>
            </w:r>
          </w:p>
        </w:tc>
        <w:tc>
          <w:tcPr>
            <w:tcW w:w="4499" w:type="dxa"/>
            <w:vAlign w:val="top"/>
          </w:tcPr>
          <w:p w14:paraId="1E86A809">
            <w:pPr>
              <w:pStyle w:val="20"/>
              <w:keepNext w:val="0"/>
              <w:keepLines w:val="0"/>
              <w:pageBreakBefore w:val="0"/>
              <w:widowControl w:val="0"/>
              <w:kinsoku w:val="0"/>
              <w:wordWrap/>
              <w:overflowPunct/>
              <w:topLinePunct w:val="0"/>
              <w:autoSpaceDE w:val="0"/>
              <w:autoSpaceDN w:val="0"/>
              <w:bidi w:val="0"/>
              <w:adjustRightInd w:val="0"/>
              <w:snapToGrid w:val="0"/>
              <w:spacing w:before="151" w:line="219" w:lineRule="auto"/>
              <w:ind w:left="103"/>
              <w:textAlignment w:val="baseline"/>
            </w:pPr>
            <w:r>
              <w:rPr>
                <w:spacing w:val="-1"/>
              </w:rPr>
              <w:t>按要求次数、质量消杀各得1分，共2分</w:t>
            </w:r>
          </w:p>
        </w:tc>
        <w:tc>
          <w:tcPr>
            <w:tcW w:w="886" w:type="dxa"/>
            <w:vAlign w:val="top"/>
          </w:tcPr>
          <w:p w14:paraId="6DB9567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75DE0E9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17E4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24" w:type="dxa"/>
            <w:vMerge w:val="restart"/>
            <w:tcBorders>
              <w:bottom w:val="nil"/>
            </w:tcBorders>
            <w:vAlign w:val="top"/>
          </w:tcPr>
          <w:p w14:paraId="30613BF1">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4856AF78">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FD87C53">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4CE67706">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68B7960">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39B8D32">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03562053">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4067A8AB">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0A1E22AD">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77E0236D">
            <w:pPr>
              <w:pStyle w:val="20"/>
              <w:keepNext w:val="0"/>
              <w:keepLines w:val="0"/>
              <w:pageBreakBefore w:val="0"/>
              <w:widowControl w:val="0"/>
              <w:kinsoku w:val="0"/>
              <w:wordWrap/>
              <w:overflowPunct/>
              <w:topLinePunct w:val="0"/>
              <w:autoSpaceDE w:val="0"/>
              <w:autoSpaceDN w:val="0"/>
              <w:bidi w:val="0"/>
              <w:adjustRightInd w:val="0"/>
              <w:snapToGrid w:val="0"/>
              <w:spacing w:before="68" w:line="231" w:lineRule="auto"/>
              <w:ind w:left="204" w:right="209"/>
              <w:textAlignment w:val="baseline"/>
            </w:pPr>
            <w:r>
              <w:rPr>
                <w:spacing w:val="4"/>
              </w:rPr>
              <w:t>公共区域</w:t>
            </w:r>
            <w:r>
              <w:rPr>
                <w:spacing w:val="1"/>
              </w:rPr>
              <w:t>(20</w:t>
            </w:r>
            <w:r>
              <w:rPr>
                <w:spacing w:val="19"/>
              </w:rPr>
              <w:t>分)</w:t>
            </w:r>
          </w:p>
        </w:tc>
        <w:tc>
          <w:tcPr>
            <w:tcW w:w="616" w:type="dxa"/>
            <w:vAlign w:val="top"/>
          </w:tcPr>
          <w:p w14:paraId="7310B090">
            <w:pPr>
              <w:pStyle w:val="20"/>
              <w:keepNext w:val="0"/>
              <w:keepLines w:val="0"/>
              <w:pageBreakBefore w:val="0"/>
              <w:widowControl w:val="0"/>
              <w:kinsoku w:val="0"/>
              <w:wordWrap/>
              <w:overflowPunct/>
              <w:topLinePunct w:val="0"/>
              <w:autoSpaceDE w:val="0"/>
              <w:autoSpaceDN w:val="0"/>
              <w:bidi w:val="0"/>
              <w:adjustRightInd w:val="0"/>
              <w:snapToGrid w:val="0"/>
              <w:spacing w:before="215" w:line="183" w:lineRule="auto"/>
              <w:ind w:left="170"/>
              <w:textAlignment w:val="baseline"/>
            </w:pPr>
            <w:r>
              <w:rPr>
                <w:spacing w:val="-3"/>
              </w:rPr>
              <w:t>26</w:t>
            </w:r>
          </w:p>
        </w:tc>
        <w:tc>
          <w:tcPr>
            <w:tcW w:w="1763" w:type="dxa"/>
            <w:vAlign w:val="top"/>
          </w:tcPr>
          <w:p w14:paraId="1204751B">
            <w:pPr>
              <w:pStyle w:val="20"/>
              <w:keepNext w:val="0"/>
              <w:keepLines w:val="0"/>
              <w:pageBreakBefore w:val="0"/>
              <w:widowControl w:val="0"/>
              <w:kinsoku w:val="0"/>
              <w:wordWrap/>
              <w:overflowPunct/>
              <w:topLinePunct w:val="0"/>
              <w:autoSpaceDE w:val="0"/>
              <w:autoSpaceDN w:val="0"/>
              <w:bidi w:val="0"/>
              <w:adjustRightInd w:val="0"/>
              <w:snapToGrid w:val="0"/>
              <w:spacing w:before="161" w:line="219" w:lineRule="auto"/>
              <w:ind w:left="111"/>
              <w:textAlignment w:val="baseline"/>
            </w:pPr>
            <w:r>
              <w:rPr>
                <w:spacing w:val="-2"/>
              </w:rPr>
              <w:t>道路、地面</w:t>
            </w:r>
          </w:p>
        </w:tc>
        <w:tc>
          <w:tcPr>
            <w:tcW w:w="4499" w:type="dxa"/>
            <w:vAlign w:val="top"/>
          </w:tcPr>
          <w:p w14:paraId="111D678A">
            <w:pPr>
              <w:pStyle w:val="20"/>
              <w:keepNext w:val="0"/>
              <w:keepLines w:val="0"/>
              <w:pageBreakBefore w:val="0"/>
              <w:widowControl w:val="0"/>
              <w:kinsoku w:val="0"/>
              <w:wordWrap/>
              <w:overflowPunct/>
              <w:topLinePunct w:val="0"/>
              <w:autoSpaceDE w:val="0"/>
              <w:autoSpaceDN w:val="0"/>
              <w:bidi w:val="0"/>
              <w:adjustRightInd w:val="0"/>
              <w:snapToGrid w:val="0"/>
              <w:spacing w:before="30" w:line="215" w:lineRule="auto"/>
              <w:ind w:left="103" w:right="248"/>
              <w:textAlignment w:val="baseline"/>
            </w:pPr>
            <w:r>
              <w:t>保持干净，无垃圾、无杂物各得1分，共2分</w:t>
            </w:r>
          </w:p>
        </w:tc>
        <w:tc>
          <w:tcPr>
            <w:tcW w:w="886" w:type="dxa"/>
            <w:vAlign w:val="top"/>
          </w:tcPr>
          <w:p w14:paraId="2C994D6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79B4632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2A06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24" w:type="dxa"/>
            <w:vMerge w:val="continue"/>
            <w:tcBorders>
              <w:top w:val="nil"/>
              <w:bottom w:val="nil"/>
            </w:tcBorders>
            <w:vAlign w:val="top"/>
          </w:tcPr>
          <w:p w14:paraId="4167228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7FD17196">
            <w:pPr>
              <w:pStyle w:val="20"/>
              <w:keepNext w:val="0"/>
              <w:keepLines w:val="0"/>
              <w:pageBreakBefore w:val="0"/>
              <w:widowControl w:val="0"/>
              <w:kinsoku w:val="0"/>
              <w:wordWrap/>
              <w:overflowPunct/>
              <w:topLinePunct w:val="0"/>
              <w:autoSpaceDE w:val="0"/>
              <w:autoSpaceDN w:val="0"/>
              <w:bidi w:val="0"/>
              <w:adjustRightInd w:val="0"/>
              <w:snapToGrid w:val="0"/>
              <w:spacing w:before="215" w:line="183" w:lineRule="auto"/>
              <w:ind w:left="170"/>
              <w:textAlignment w:val="baseline"/>
            </w:pPr>
            <w:r>
              <w:rPr>
                <w:spacing w:val="-3"/>
              </w:rPr>
              <w:t>27</w:t>
            </w:r>
          </w:p>
        </w:tc>
        <w:tc>
          <w:tcPr>
            <w:tcW w:w="1763" w:type="dxa"/>
            <w:vAlign w:val="top"/>
          </w:tcPr>
          <w:p w14:paraId="4BA7A0CF">
            <w:pPr>
              <w:pStyle w:val="20"/>
              <w:keepNext w:val="0"/>
              <w:keepLines w:val="0"/>
              <w:pageBreakBefore w:val="0"/>
              <w:widowControl w:val="0"/>
              <w:kinsoku w:val="0"/>
              <w:wordWrap/>
              <w:overflowPunct/>
              <w:topLinePunct w:val="0"/>
              <w:autoSpaceDE w:val="0"/>
              <w:autoSpaceDN w:val="0"/>
              <w:bidi w:val="0"/>
              <w:adjustRightInd w:val="0"/>
              <w:snapToGrid w:val="0"/>
              <w:spacing w:before="159" w:line="218" w:lineRule="auto"/>
              <w:ind w:left="111"/>
              <w:textAlignment w:val="baseline"/>
            </w:pPr>
            <w:r>
              <w:rPr>
                <w:spacing w:val="1"/>
              </w:rPr>
              <w:t>公告、宣传栏</w:t>
            </w:r>
          </w:p>
        </w:tc>
        <w:tc>
          <w:tcPr>
            <w:tcW w:w="4499" w:type="dxa"/>
            <w:vAlign w:val="top"/>
          </w:tcPr>
          <w:p w14:paraId="4D16C691">
            <w:pPr>
              <w:pStyle w:val="20"/>
              <w:keepNext w:val="0"/>
              <w:keepLines w:val="0"/>
              <w:pageBreakBefore w:val="0"/>
              <w:widowControl w:val="0"/>
              <w:kinsoku w:val="0"/>
              <w:wordWrap/>
              <w:overflowPunct/>
              <w:topLinePunct w:val="0"/>
              <w:autoSpaceDE w:val="0"/>
              <w:autoSpaceDN w:val="0"/>
              <w:bidi w:val="0"/>
              <w:adjustRightInd w:val="0"/>
              <w:snapToGrid w:val="0"/>
              <w:spacing w:before="161" w:line="219" w:lineRule="auto"/>
              <w:ind w:left="103"/>
              <w:textAlignment w:val="baseline"/>
            </w:pPr>
            <w:r>
              <w:rPr>
                <w:spacing w:val="-1"/>
              </w:rPr>
              <w:t>无明显目视污渍、尘渍各得1分，共2分</w:t>
            </w:r>
          </w:p>
        </w:tc>
        <w:tc>
          <w:tcPr>
            <w:tcW w:w="886" w:type="dxa"/>
            <w:vAlign w:val="top"/>
          </w:tcPr>
          <w:p w14:paraId="3A2DCD8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12C398F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12AA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bottom w:val="nil"/>
            </w:tcBorders>
            <w:vAlign w:val="top"/>
          </w:tcPr>
          <w:p w14:paraId="317D5B6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50355EA7">
            <w:pPr>
              <w:pStyle w:val="20"/>
              <w:keepNext w:val="0"/>
              <w:keepLines w:val="0"/>
              <w:pageBreakBefore w:val="0"/>
              <w:widowControl w:val="0"/>
              <w:kinsoku w:val="0"/>
              <w:wordWrap/>
              <w:overflowPunct/>
              <w:topLinePunct w:val="0"/>
              <w:autoSpaceDE w:val="0"/>
              <w:autoSpaceDN w:val="0"/>
              <w:bidi w:val="0"/>
              <w:adjustRightInd w:val="0"/>
              <w:snapToGrid w:val="0"/>
              <w:spacing w:before="206" w:line="183" w:lineRule="auto"/>
              <w:ind w:left="170"/>
              <w:textAlignment w:val="baseline"/>
            </w:pPr>
            <w:r>
              <w:rPr>
                <w:spacing w:val="-3"/>
              </w:rPr>
              <w:t>28</w:t>
            </w:r>
          </w:p>
        </w:tc>
        <w:tc>
          <w:tcPr>
            <w:tcW w:w="1763" w:type="dxa"/>
            <w:vAlign w:val="top"/>
          </w:tcPr>
          <w:p w14:paraId="3803039B">
            <w:pPr>
              <w:pStyle w:val="20"/>
              <w:keepNext w:val="0"/>
              <w:keepLines w:val="0"/>
              <w:pageBreakBefore w:val="0"/>
              <w:widowControl w:val="0"/>
              <w:kinsoku w:val="0"/>
              <w:wordWrap/>
              <w:overflowPunct/>
              <w:topLinePunct w:val="0"/>
              <w:autoSpaceDE w:val="0"/>
              <w:autoSpaceDN w:val="0"/>
              <w:bidi w:val="0"/>
              <w:adjustRightInd w:val="0"/>
              <w:snapToGrid w:val="0"/>
              <w:spacing w:before="152" w:line="219" w:lineRule="auto"/>
              <w:ind w:left="111"/>
              <w:textAlignment w:val="baseline"/>
            </w:pPr>
            <w:r>
              <w:rPr>
                <w:spacing w:val="2"/>
              </w:rPr>
              <w:t>公共灯具</w:t>
            </w:r>
          </w:p>
        </w:tc>
        <w:tc>
          <w:tcPr>
            <w:tcW w:w="4499" w:type="dxa"/>
            <w:vAlign w:val="top"/>
          </w:tcPr>
          <w:p w14:paraId="46CD4FD2">
            <w:pPr>
              <w:pStyle w:val="20"/>
              <w:keepNext w:val="0"/>
              <w:keepLines w:val="0"/>
              <w:pageBreakBefore w:val="0"/>
              <w:widowControl w:val="0"/>
              <w:kinsoku w:val="0"/>
              <w:wordWrap/>
              <w:overflowPunct/>
              <w:topLinePunct w:val="0"/>
              <w:autoSpaceDE w:val="0"/>
              <w:autoSpaceDN w:val="0"/>
              <w:bidi w:val="0"/>
              <w:adjustRightInd w:val="0"/>
              <w:snapToGrid w:val="0"/>
              <w:spacing w:before="152" w:line="219" w:lineRule="auto"/>
              <w:ind w:left="103"/>
              <w:textAlignment w:val="baseline"/>
            </w:pPr>
            <w:r>
              <w:rPr>
                <w:spacing w:val="-1"/>
              </w:rPr>
              <w:t>无明显目视污渍、尘渍各得1分，共2分</w:t>
            </w:r>
          </w:p>
        </w:tc>
        <w:tc>
          <w:tcPr>
            <w:tcW w:w="886" w:type="dxa"/>
            <w:vAlign w:val="top"/>
          </w:tcPr>
          <w:p w14:paraId="6E38681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3322812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0754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24" w:type="dxa"/>
            <w:vMerge w:val="continue"/>
            <w:tcBorders>
              <w:top w:val="nil"/>
              <w:bottom w:val="nil"/>
            </w:tcBorders>
            <w:vAlign w:val="top"/>
          </w:tcPr>
          <w:p w14:paraId="31D55AD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77F958F8">
            <w:pPr>
              <w:pStyle w:val="20"/>
              <w:keepNext w:val="0"/>
              <w:keepLines w:val="0"/>
              <w:pageBreakBefore w:val="0"/>
              <w:widowControl w:val="0"/>
              <w:kinsoku w:val="0"/>
              <w:wordWrap/>
              <w:overflowPunct/>
              <w:topLinePunct w:val="0"/>
              <w:autoSpaceDE w:val="0"/>
              <w:autoSpaceDN w:val="0"/>
              <w:bidi w:val="0"/>
              <w:adjustRightInd w:val="0"/>
              <w:snapToGrid w:val="0"/>
              <w:spacing w:before="226" w:line="183" w:lineRule="auto"/>
              <w:ind w:left="170"/>
              <w:textAlignment w:val="baseline"/>
            </w:pPr>
            <w:r>
              <w:rPr>
                <w:spacing w:val="-3"/>
              </w:rPr>
              <w:t>29</w:t>
            </w:r>
          </w:p>
        </w:tc>
        <w:tc>
          <w:tcPr>
            <w:tcW w:w="1763" w:type="dxa"/>
            <w:vAlign w:val="top"/>
          </w:tcPr>
          <w:p w14:paraId="4621E0A6">
            <w:pPr>
              <w:pStyle w:val="20"/>
              <w:keepNext w:val="0"/>
              <w:keepLines w:val="0"/>
              <w:pageBreakBefore w:val="0"/>
              <w:widowControl w:val="0"/>
              <w:kinsoku w:val="0"/>
              <w:wordWrap/>
              <w:overflowPunct/>
              <w:topLinePunct w:val="0"/>
              <w:autoSpaceDE w:val="0"/>
              <w:autoSpaceDN w:val="0"/>
              <w:bidi w:val="0"/>
              <w:adjustRightInd w:val="0"/>
              <w:snapToGrid w:val="0"/>
              <w:spacing w:before="172" w:line="219" w:lineRule="auto"/>
              <w:ind w:left="111"/>
              <w:textAlignment w:val="baseline"/>
            </w:pPr>
            <w:r>
              <w:rPr>
                <w:spacing w:val="3"/>
              </w:rPr>
              <w:t>绿化带</w:t>
            </w:r>
          </w:p>
        </w:tc>
        <w:tc>
          <w:tcPr>
            <w:tcW w:w="4499" w:type="dxa"/>
            <w:vAlign w:val="top"/>
          </w:tcPr>
          <w:p w14:paraId="4D18FD11">
            <w:pPr>
              <w:pStyle w:val="20"/>
              <w:keepNext w:val="0"/>
              <w:keepLines w:val="0"/>
              <w:pageBreakBefore w:val="0"/>
              <w:widowControl w:val="0"/>
              <w:kinsoku w:val="0"/>
              <w:wordWrap/>
              <w:overflowPunct/>
              <w:topLinePunct w:val="0"/>
              <w:autoSpaceDE w:val="0"/>
              <w:autoSpaceDN w:val="0"/>
              <w:bidi w:val="0"/>
              <w:adjustRightInd w:val="0"/>
              <w:snapToGrid w:val="0"/>
              <w:spacing w:before="42" w:line="214" w:lineRule="auto"/>
              <w:ind w:left="103" w:right="50" w:firstLine="10"/>
              <w:textAlignment w:val="baseline"/>
            </w:pPr>
            <w:r>
              <w:rPr>
                <w:spacing w:val="-1"/>
              </w:rPr>
              <w:t>绿化带无杂草虫害、保持干净、定时修剪并植物生长旺盛各得1分，共3分</w:t>
            </w:r>
          </w:p>
        </w:tc>
        <w:tc>
          <w:tcPr>
            <w:tcW w:w="886" w:type="dxa"/>
            <w:vAlign w:val="top"/>
          </w:tcPr>
          <w:p w14:paraId="6191405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6B04408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570B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vMerge w:val="continue"/>
            <w:tcBorders>
              <w:top w:val="nil"/>
              <w:bottom w:val="nil"/>
            </w:tcBorders>
            <w:vAlign w:val="top"/>
          </w:tcPr>
          <w:p w14:paraId="19AC62B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657E2856">
            <w:pPr>
              <w:pStyle w:val="20"/>
              <w:keepNext w:val="0"/>
              <w:keepLines w:val="0"/>
              <w:pageBreakBefore w:val="0"/>
              <w:widowControl w:val="0"/>
              <w:kinsoku w:val="0"/>
              <w:wordWrap/>
              <w:overflowPunct/>
              <w:topLinePunct w:val="0"/>
              <w:autoSpaceDE w:val="0"/>
              <w:autoSpaceDN w:val="0"/>
              <w:bidi w:val="0"/>
              <w:adjustRightInd w:val="0"/>
              <w:snapToGrid w:val="0"/>
              <w:spacing w:before="207" w:line="183" w:lineRule="auto"/>
              <w:ind w:left="170"/>
              <w:textAlignment w:val="baseline"/>
            </w:pPr>
            <w:r>
              <w:rPr>
                <w:spacing w:val="-4"/>
              </w:rPr>
              <w:t>30</w:t>
            </w:r>
          </w:p>
        </w:tc>
        <w:tc>
          <w:tcPr>
            <w:tcW w:w="1763" w:type="dxa"/>
            <w:vAlign w:val="top"/>
          </w:tcPr>
          <w:p w14:paraId="439F05E0">
            <w:pPr>
              <w:pStyle w:val="20"/>
              <w:keepNext w:val="0"/>
              <w:keepLines w:val="0"/>
              <w:pageBreakBefore w:val="0"/>
              <w:widowControl w:val="0"/>
              <w:kinsoku w:val="0"/>
              <w:wordWrap/>
              <w:overflowPunct/>
              <w:topLinePunct w:val="0"/>
              <w:autoSpaceDE w:val="0"/>
              <w:autoSpaceDN w:val="0"/>
              <w:bidi w:val="0"/>
              <w:adjustRightInd w:val="0"/>
              <w:snapToGrid w:val="0"/>
              <w:spacing w:before="153" w:line="219" w:lineRule="auto"/>
              <w:ind w:left="111"/>
              <w:textAlignment w:val="baseline"/>
            </w:pPr>
            <w:r>
              <w:rPr>
                <w:spacing w:val="-3"/>
              </w:rPr>
              <w:t>栏杆</w:t>
            </w:r>
          </w:p>
        </w:tc>
        <w:tc>
          <w:tcPr>
            <w:tcW w:w="4499" w:type="dxa"/>
            <w:vAlign w:val="top"/>
          </w:tcPr>
          <w:p w14:paraId="2E484686">
            <w:pPr>
              <w:pStyle w:val="20"/>
              <w:keepNext w:val="0"/>
              <w:keepLines w:val="0"/>
              <w:pageBreakBefore w:val="0"/>
              <w:widowControl w:val="0"/>
              <w:kinsoku w:val="0"/>
              <w:wordWrap/>
              <w:overflowPunct/>
              <w:topLinePunct w:val="0"/>
              <w:autoSpaceDE w:val="0"/>
              <w:autoSpaceDN w:val="0"/>
              <w:bidi w:val="0"/>
              <w:adjustRightInd w:val="0"/>
              <w:snapToGrid w:val="0"/>
              <w:spacing w:before="153" w:line="219" w:lineRule="auto"/>
              <w:ind w:left="103"/>
              <w:textAlignment w:val="baseline"/>
            </w:pPr>
            <w:r>
              <w:rPr>
                <w:spacing w:val="-1"/>
              </w:rPr>
              <w:t>无明显目视污渍、尘渍各得1分，共2分</w:t>
            </w:r>
          </w:p>
        </w:tc>
        <w:tc>
          <w:tcPr>
            <w:tcW w:w="886" w:type="dxa"/>
            <w:vAlign w:val="top"/>
          </w:tcPr>
          <w:p w14:paraId="17F9CF9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65924A5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420D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bottom w:val="nil"/>
            </w:tcBorders>
            <w:vAlign w:val="top"/>
          </w:tcPr>
          <w:p w14:paraId="78E7EF4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53055596">
            <w:pPr>
              <w:pStyle w:val="20"/>
              <w:keepNext w:val="0"/>
              <w:keepLines w:val="0"/>
              <w:pageBreakBefore w:val="0"/>
              <w:widowControl w:val="0"/>
              <w:kinsoku w:val="0"/>
              <w:wordWrap/>
              <w:overflowPunct/>
              <w:topLinePunct w:val="0"/>
              <w:autoSpaceDE w:val="0"/>
              <w:autoSpaceDN w:val="0"/>
              <w:bidi w:val="0"/>
              <w:adjustRightInd w:val="0"/>
              <w:snapToGrid w:val="0"/>
              <w:spacing w:before="207" w:line="184" w:lineRule="auto"/>
              <w:ind w:left="170"/>
              <w:textAlignment w:val="baseline"/>
            </w:pPr>
            <w:r>
              <w:rPr>
                <w:spacing w:val="-4"/>
              </w:rPr>
              <w:t>31</w:t>
            </w:r>
          </w:p>
        </w:tc>
        <w:tc>
          <w:tcPr>
            <w:tcW w:w="1763" w:type="dxa"/>
            <w:vAlign w:val="top"/>
          </w:tcPr>
          <w:p w14:paraId="0FDA8E1B">
            <w:pPr>
              <w:pStyle w:val="20"/>
              <w:keepNext w:val="0"/>
              <w:keepLines w:val="0"/>
              <w:pageBreakBefore w:val="0"/>
              <w:widowControl w:val="0"/>
              <w:kinsoku w:val="0"/>
              <w:wordWrap/>
              <w:overflowPunct/>
              <w:topLinePunct w:val="0"/>
              <w:autoSpaceDE w:val="0"/>
              <w:autoSpaceDN w:val="0"/>
              <w:bidi w:val="0"/>
              <w:adjustRightInd w:val="0"/>
              <w:snapToGrid w:val="0"/>
              <w:spacing w:before="154" w:line="219" w:lineRule="auto"/>
              <w:ind w:left="111"/>
              <w:textAlignment w:val="baseline"/>
            </w:pPr>
            <w:r>
              <w:rPr>
                <w:spacing w:val="-2"/>
              </w:rPr>
              <w:t>沟渠、管道</w:t>
            </w:r>
          </w:p>
        </w:tc>
        <w:tc>
          <w:tcPr>
            <w:tcW w:w="4499" w:type="dxa"/>
            <w:vAlign w:val="top"/>
          </w:tcPr>
          <w:p w14:paraId="527CFBF1">
            <w:pPr>
              <w:pStyle w:val="20"/>
              <w:keepNext w:val="0"/>
              <w:keepLines w:val="0"/>
              <w:pageBreakBefore w:val="0"/>
              <w:widowControl w:val="0"/>
              <w:kinsoku w:val="0"/>
              <w:wordWrap/>
              <w:overflowPunct/>
              <w:topLinePunct w:val="0"/>
              <w:autoSpaceDE w:val="0"/>
              <w:autoSpaceDN w:val="0"/>
              <w:bidi w:val="0"/>
              <w:adjustRightInd w:val="0"/>
              <w:snapToGrid w:val="0"/>
              <w:spacing w:before="154" w:line="219" w:lineRule="auto"/>
              <w:ind w:left="103"/>
              <w:textAlignment w:val="baseline"/>
            </w:pPr>
            <w:r>
              <w:rPr>
                <w:spacing w:val="-1"/>
              </w:rPr>
              <w:t>保持畅通得1分，共1分</w:t>
            </w:r>
          </w:p>
        </w:tc>
        <w:tc>
          <w:tcPr>
            <w:tcW w:w="886" w:type="dxa"/>
            <w:vAlign w:val="top"/>
          </w:tcPr>
          <w:p w14:paraId="0139EF9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2C01BC7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3A8E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24" w:type="dxa"/>
            <w:vMerge w:val="continue"/>
            <w:tcBorders>
              <w:top w:val="nil"/>
              <w:bottom w:val="nil"/>
            </w:tcBorders>
            <w:vAlign w:val="top"/>
          </w:tcPr>
          <w:p w14:paraId="688F6FF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1CC7A9CE">
            <w:pPr>
              <w:pStyle w:val="20"/>
              <w:keepNext w:val="0"/>
              <w:keepLines w:val="0"/>
              <w:pageBreakBefore w:val="0"/>
              <w:widowControl w:val="0"/>
              <w:kinsoku w:val="0"/>
              <w:wordWrap/>
              <w:overflowPunct/>
              <w:topLinePunct w:val="0"/>
              <w:autoSpaceDE w:val="0"/>
              <w:autoSpaceDN w:val="0"/>
              <w:bidi w:val="0"/>
              <w:adjustRightInd w:val="0"/>
              <w:snapToGrid w:val="0"/>
              <w:spacing w:before="218" w:line="183" w:lineRule="auto"/>
              <w:ind w:left="170"/>
              <w:textAlignment w:val="baseline"/>
            </w:pPr>
            <w:r>
              <w:rPr>
                <w:spacing w:val="-4"/>
              </w:rPr>
              <w:t>32</w:t>
            </w:r>
          </w:p>
        </w:tc>
        <w:tc>
          <w:tcPr>
            <w:tcW w:w="1763" w:type="dxa"/>
            <w:vAlign w:val="top"/>
          </w:tcPr>
          <w:p w14:paraId="43B20458">
            <w:pPr>
              <w:pStyle w:val="20"/>
              <w:keepNext w:val="0"/>
              <w:keepLines w:val="0"/>
              <w:pageBreakBefore w:val="0"/>
              <w:widowControl w:val="0"/>
              <w:kinsoku w:val="0"/>
              <w:wordWrap/>
              <w:overflowPunct/>
              <w:topLinePunct w:val="0"/>
              <w:autoSpaceDE w:val="0"/>
              <w:autoSpaceDN w:val="0"/>
              <w:bidi w:val="0"/>
              <w:adjustRightInd w:val="0"/>
              <w:snapToGrid w:val="0"/>
              <w:spacing w:before="164" w:line="219" w:lineRule="auto"/>
              <w:ind w:left="111"/>
              <w:textAlignment w:val="baseline"/>
            </w:pPr>
            <w:r>
              <w:rPr>
                <w:spacing w:val="1"/>
              </w:rPr>
              <w:t>雨水成砂池</w:t>
            </w:r>
          </w:p>
        </w:tc>
        <w:tc>
          <w:tcPr>
            <w:tcW w:w="4499" w:type="dxa"/>
            <w:vAlign w:val="top"/>
          </w:tcPr>
          <w:p w14:paraId="12E7C28D">
            <w:pPr>
              <w:pStyle w:val="20"/>
              <w:keepNext w:val="0"/>
              <w:keepLines w:val="0"/>
              <w:pageBreakBefore w:val="0"/>
              <w:widowControl w:val="0"/>
              <w:kinsoku w:val="0"/>
              <w:wordWrap/>
              <w:overflowPunct/>
              <w:topLinePunct w:val="0"/>
              <w:autoSpaceDE w:val="0"/>
              <w:autoSpaceDN w:val="0"/>
              <w:bidi w:val="0"/>
              <w:adjustRightInd w:val="0"/>
              <w:snapToGrid w:val="0"/>
              <w:spacing w:before="164" w:line="219" w:lineRule="auto"/>
              <w:ind w:left="103"/>
              <w:textAlignment w:val="baseline"/>
            </w:pPr>
            <w:r>
              <w:rPr>
                <w:spacing w:val="-1"/>
              </w:rPr>
              <w:t>保持畅通得1分，共1分</w:t>
            </w:r>
          </w:p>
        </w:tc>
        <w:tc>
          <w:tcPr>
            <w:tcW w:w="886" w:type="dxa"/>
            <w:vAlign w:val="top"/>
          </w:tcPr>
          <w:p w14:paraId="269877B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2DDB151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021F5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24" w:type="dxa"/>
            <w:vMerge w:val="continue"/>
            <w:tcBorders>
              <w:top w:val="nil"/>
              <w:bottom w:val="nil"/>
            </w:tcBorders>
            <w:vAlign w:val="top"/>
          </w:tcPr>
          <w:p w14:paraId="4BAC6F58">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3C23712C">
            <w:pPr>
              <w:pStyle w:val="20"/>
              <w:keepNext w:val="0"/>
              <w:keepLines w:val="0"/>
              <w:pageBreakBefore w:val="0"/>
              <w:widowControl w:val="0"/>
              <w:kinsoku w:val="0"/>
              <w:wordWrap/>
              <w:overflowPunct/>
              <w:topLinePunct w:val="0"/>
              <w:autoSpaceDE w:val="0"/>
              <w:autoSpaceDN w:val="0"/>
              <w:bidi w:val="0"/>
              <w:adjustRightInd w:val="0"/>
              <w:snapToGrid w:val="0"/>
              <w:spacing w:before="209" w:line="183" w:lineRule="auto"/>
              <w:ind w:left="170"/>
              <w:textAlignment w:val="baseline"/>
            </w:pPr>
            <w:r>
              <w:rPr>
                <w:spacing w:val="-4"/>
              </w:rPr>
              <w:t>33</w:t>
            </w:r>
          </w:p>
        </w:tc>
        <w:tc>
          <w:tcPr>
            <w:tcW w:w="1763" w:type="dxa"/>
            <w:vAlign w:val="top"/>
          </w:tcPr>
          <w:p w14:paraId="151B9CF0">
            <w:pPr>
              <w:pStyle w:val="20"/>
              <w:keepNext w:val="0"/>
              <w:keepLines w:val="0"/>
              <w:pageBreakBefore w:val="0"/>
              <w:widowControl w:val="0"/>
              <w:kinsoku w:val="0"/>
              <w:wordWrap/>
              <w:overflowPunct/>
              <w:topLinePunct w:val="0"/>
              <w:autoSpaceDE w:val="0"/>
              <w:autoSpaceDN w:val="0"/>
              <w:bidi w:val="0"/>
              <w:adjustRightInd w:val="0"/>
              <w:snapToGrid w:val="0"/>
              <w:spacing w:before="155" w:line="219" w:lineRule="auto"/>
              <w:ind w:left="111"/>
              <w:textAlignment w:val="baseline"/>
            </w:pPr>
            <w:r>
              <w:rPr>
                <w:spacing w:val="-2"/>
              </w:rPr>
              <w:t>生活水池</w:t>
            </w:r>
          </w:p>
        </w:tc>
        <w:tc>
          <w:tcPr>
            <w:tcW w:w="4499" w:type="dxa"/>
            <w:vAlign w:val="top"/>
          </w:tcPr>
          <w:p w14:paraId="6D1F4E05">
            <w:pPr>
              <w:pStyle w:val="20"/>
              <w:keepNext w:val="0"/>
              <w:keepLines w:val="0"/>
              <w:pageBreakBefore w:val="0"/>
              <w:widowControl w:val="0"/>
              <w:kinsoku w:val="0"/>
              <w:wordWrap/>
              <w:overflowPunct/>
              <w:topLinePunct w:val="0"/>
              <w:autoSpaceDE w:val="0"/>
              <w:autoSpaceDN w:val="0"/>
              <w:bidi w:val="0"/>
              <w:adjustRightInd w:val="0"/>
              <w:snapToGrid w:val="0"/>
              <w:spacing w:before="155" w:line="219" w:lineRule="auto"/>
              <w:ind w:left="103"/>
              <w:textAlignment w:val="baseline"/>
            </w:pPr>
            <w:r>
              <w:t>定期消毒、清洗各得1分，共2分</w:t>
            </w:r>
          </w:p>
        </w:tc>
        <w:tc>
          <w:tcPr>
            <w:tcW w:w="886" w:type="dxa"/>
            <w:vAlign w:val="top"/>
          </w:tcPr>
          <w:p w14:paraId="2F4D787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4CD3E7D1">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131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bottom w:val="nil"/>
            </w:tcBorders>
            <w:vAlign w:val="top"/>
          </w:tcPr>
          <w:p w14:paraId="76ACF53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2A7C3011">
            <w:pPr>
              <w:pStyle w:val="20"/>
              <w:keepNext w:val="0"/>
              <w:keepLines w:val="0"/>
              <w:pageBreakBefore w:val="0"/>
              <w:widowControl w:val="0"/>
              <w:kinsoku w:val="0"/>
              <w:wordWrap/>
              <w:overflowPunct/>
              <w:topLinePunct w:val="0"/>
              <w:autoSpaceDE w:val="0"/>
              <w:autoSpaceDN w:val="0"/>
              <w:bidi w:val="0"/>
              <w:adjustRightInd w:val="0"/>
              <w:snapToGrid w:val="0"/>
              <w:spacing w:before="209" w:line="183" w:lineRule="auto"/>
              <w:ind w:left="170"/>
              <w:textAlignment w:val="baseline"/>
            </w:pPr>
            <w:r>
              <w:rPr>
                <w:spacing w:val="-4"/>
              </w:rPr>
              <w:t>34</w:t>
            </w:r>
          </w:p>
        </w:tc>
        <w:tc>
          <w:tcPr>
            <w:tcW w:w="1763" w:type="dxa"/>
            <w:vAlign w:val="top"/>
          </w:tcPr>
          <w:p w14:paraId="61C90CAE">
            <w:pPr>
              <w:pStyle w:val="20"/>
              <w:keepNext w:val="0"/>
              <w:keepLines w:val="0"/>
              <w:pageBreakBefore w:val="0"/>
              <w:widowControl w:val="0"/>
              <w:kinsoku w:val="0"/>
              <w:wordWrap/>
              <w:overflowPunct/>
              <w:topLinePunct w:val="0"/>
              <w:autoSpaceDE w:val="0"/>
              <w:autoSpaceDN w:val="0"/>
              <w:bidi w:val="0"/>
              <w:adjustRightInd w:val="0"/>
              <w:snapToGrid w:val="0"/>
              <w:spacing w:before="155" w:line="219" w:lineRule="auto"/>
              <w:ind w:left="111"/>
              <w:textAlignment w:val="baseline"/>
            </w:pPr>
            <w:r>
              <w:rPr>
                <w:spacing w:val="-3"/>
              </w:rPr>
              <w:t>化粪池</w:t>
            </w:r>
          </w:p>
        </w:tc>
        <w:tc>
          <w:tcPr>
            <w:tcW w:w="4499" w:type="dxa"/>
            <w:vAlign w:val="top"/>
          </w:tcPr>
          <w:p w14:paraId="0116FD13">
            <w:pPr>
              <w:pStyle w:val="20"/>
              <w:keepNext w:val="0"/>
              <w:keepLines w:val="0"/>
              <w:pageBreakBefore w:val="0"/>
              <w:widowControl w:val="0"/>
              <w:kinsoku w:val="0"/>
              <w:wordWrap/>
              <w:overflowPunct/>
              <w:topLinePunct w:val="0"/>
              <w:autoSpaceDE w:val="0"/>
              <w:autoSpaceDN w:val="0"/>
              <w:bidi w:val="0"/>
              <w:adjustRightInd w:val="0"/>
              <w:snapToGrid w:val="0"/>
              <w:spacing w:before="155" w:line="219" w:lineRule="auto"/>
              <w:ind w:left="103"/>
              <w:textAlignment w:val="baseline"/>
            </w:pPr>
            <w:r>
              <w:rPr>
                <w:spacing w:val="-1"/>
              </w:rPr>
              <w:t>按要求清理，保持畅通得2分，共2分</w:t>
            </w:r>
          </w:p>
        </w:tc>
        <w:tc>
          <w:tcPr>
            <w:tcW w:w="886" w:type="dxa"/>
            <w:vAlign w:val="top"/>
          </w:tcPr>
          <w:p w14:paraId="481E4C3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00AFBFC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22E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24" w:type="dxa"/>
            <w:vMerge w:val="continue"/>
            <w:tcBorders>
              <w:top w:val="nil"/>
              <w:bottom w:val="nil"/>
            </w:tcBorders>
            <w:vAlign w:val="top"/>
          </w:tcPr>
          <w:p w14:paraId="2A1D35E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68228F0C">
            <w:pPr>
              <w:pStyle w:val="20"/>
              <w:keepNext w:val="0"/>
              <w:keepLines w:val="0"/>
              <w:pageBreakBefore w:val="0"/>
              <w:widowControl w:val="0"/>
              <w:kinsoku w:val="0"/>
              <w:wordWrap/>
              <w:overflowPunct/>
              <w:topLinePunct w:val="0"/>
              <w:autoSpaceDE w:val="0"/>
              <w:autoSpaceDN w:val="0"/>
              <w:bidi w:val="0"/>
              <w:adjustRightInd w:val="0"/>
              <w:snapToGrid w:val="0"/>
              <w:spacing w:before="209" w:line="183" w:lineRule="auto"/>
              <w:ind w:left="170"/>
              <w:textAlignment w:val="baseline"/>
            </w:pPr>
            <w:r>
              <w:rPr>
                <w:spacing w:val="-4"/>
              </w:rPr>
              <w:t>35</w:t>
            </w:r>
          </w:p>
        </w:tc>
        <w:tc>
          <w:tcPr>
            <w:tcW w:w="1763" w:type="dxa"/>
            <w:vAlign w:val="top"/>
          </w:tcPr>
          <w:p w14:paraId="1AA42C0F">
            <w:pPr>
              <w:pStyle w:val="20"/>
              <w:keepNext w:val="0"/>
              <w:keepLines w:val="0"/>
              <w:pageBreakBefore w:val="0"/>
              <w:widowControl w:val="0"/>
              <w:kinsoku w:val="0"/>
              <w:wordWrap/>
              <w:overflowPunct/>
              <w:topLinePunct w:val="0"/>
              <w:autoSpaceDE w:val="0"/>
              <w:autoSpaceDN w:val="0"/>
              <w:bidi w:val="0"/>
              <w:adjustRightInd w:val="0"/>
              <w:snapToGrid w:val="0"/>
              <w:spacing w:before="156" w:line="220" w:lineRule="auto"/>
              <w:ind w:left="111"/>
              <w:textAlignment w:val="baseline"/>
            </w:pPr>
            <w:r>
              <w:rPr>
                <w:spacing w:val="2"/>
              </w:rPr>
              <w:t>垃圾中转箱</w:t>
            </w:r>
          </w:p>
        </w:tc>
        <w:tc>
          <w:tcPr>
            <w:tcW w:w="4499" w:type="dxa"/>
            <w:vAlign w:val="top"/>
          </w:tcPr>
          <w:p w14:paraId="1F1ADD8F">
            <w:pPr>
              <w:pStyle w:val="20"/>
              <w:keepNext w:val="0"/>
              <w:keepLines w:val="0"/>
              <w:pageBreakBefore w:val="0"/>
              <w:widowControl w:val="0"/>
              <w:kinsoku w:val="0"/>
              <w:wordWrap/>
              <w:overflowPunct/>
              <w:topLinePunct w:val="0"/>
              <w:autoSpaceDE w:val="0"/>
              <w:autoSpaceDN w:val="0"/>
              <w:bidi w:val="0"/>
              <w:adjustRightInd w:val="0"/>
              <w:snapToGrid w:val="0"/>
              <w:spacing w:before="155" w:line="219" w:lineRule="auto"/>
              <w:ind w:left="103"/>
              <w:textAlignment w:val="baseline"/>
            </w:pPr>
            <w:r>
              <w:rPr>
                <w:spacing w:val="-1"/>
              </w:rPr>
              <w:t>无臭味，垃圾日产日清，垃圾桶洁净得1分</w:t>
            </w:r>
          </w:p>
        </w:tc>
        <w:tc>
          <w:tcPr>
            <w:tcW w:w="886" w:type="dxa"/>
            <w:vAlign w:val="top"/>
          </w:tcPr>
          <w:p w14:paraId="0A80EFB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10668C4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D4B1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24" w:type="dxa"/>
            <w:vMerge w:val="continue"/>
            <w:tcBorders>
              <w:top w:val="nil"/>
            </w:tcBorders>
            <w:vAlign w:val="top"/>
          </w:tcPr>
          <w:p w14:paraId="1898740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7A79C843">
            <w:pPr>
              <w:pStyle w:val="20"/>
              <w:keepNext w:val="0"/>
              <w:keepLines w:val="0"/>
              <w:pageBreakBefore w:val="0"/>
              <w:widowControl w:val="0"/>
              <w:kinsoku w:val="0"/>
              <w:wordWrap/>
              <w:overflowPunct/>
              <w:topLinePunct w:val="0"/>
              <w:autoSpaceDE w:val="0"/>
              <w:autoSpaceDN w:val="0"/>
              <w:bidi w:val="0"/>
              <w:adjustRightInd w:val="0"/>
              <w:snapToGrid w:val="0"/>
              <w:spacing w:before="210" w:line="183" w:lineRule="auto"/>
              <w:ind w:left="170"/>
              <w:textAlignment w:val="baseline"/>
            </w:pPr>
            <w:r>
              <w:rPr>
                <w:spacing w:val="-4"/>
              </w:rPr>
              <w:t>36</w:t>
            </w:r>
          </w:p>
        </w:tc>
        <w:tc>
          <w:tcPr>
            <w:tcW w:w="1763" w:type="dxa"/>
            <w:vAlign w:val="top"/>
          </w:tcPr>
          <w:p w14:paraId="142F851F">
            <w:pPr>
              <w:pStyle w:val="20"/>
              <w:keepNext w:val="0"/>
              <w:keepLines w:val="0"/>
              <w:pageBreakBefore w:val="0"/>
              <w:widowControl w:val="0"/>
              <w:kinsoku w:val="0"/>
              <w:wordWrap/>
              <w:overflowPunct/>
              <w:topLinePunct w:val="0"/>
              <w:autoSpaceDE w:val="0"/>
              <w:autoSpaceDN w:val="0"/>
              <w:bidi w:val="0"/>
              <w:adjustRightInd w:val="0"/>
              <w:snapToGrid w:val="0"/>
              <w:spacing w:before="156" w:line="219" w:lineRule="auto"/>
              <w:ind w:left="111"/>
              <w:textAlignment w:val="baseline"/>
            </w:pPr>
            <w:r>
              <w:rPr>
                <w:spacing w:val="2"/>
              </w:rPr>
              <w:t>防疫消杀</w:t>
            </w:r>
          </w:p>
        </w:tc>
        <w:tc>
          <w:tcPr>
            <w:tcW w:w="4499" w:type="dxa"/>
            <w:vAlign w:val="top"/>
          </w:tcPr>
          <w:p w14:paraId="1B114F6F">
            <w:pPr>
              <w:pStyle w:val="20"/>
              <w:keepNext w:val="0"/>
              <w:keepLines w:val="0"/>
              <w:pageBreakBefore w:val="0"/>
              <w:widowControl w:val="0"/>
              <w:kinsoku w:val="0"/>
              <w:wordWrap/>
              <w:overflowPunct/>
              <w:topLinePunct w:val="0"/>
              <w:autoSpaceDE w:val="0"/>
              <w:autoSpaceDN w:val="0"/>
              <w:bidi w:val="0"/>
              <w:adjustRightInd w:val="0"/>
              <w:snapToGrid w:val="0"/>
              <w:spacing w:before="156" w:line="219" w:lineRule="auto"/>
              <w:ind w:left="103"/>
              <w:textAlignment w:val="baseline"/>
            </w:pPr>
            <w:r>
              <w:rPr>
                <w:spacing w:val="-1"/>
              </w:rPr>
              <w:t>按要求次数、质量消杀各得1分，共2分</w:t>
            </w:r>
          </w:p>
        </w:tc>
        <w:tc>
          <w:tcPr>
            <w:tcW w:w="886" w:type="dxa"/>
            <w:vAlign w:val="top"/>
          </w:tcPr>
          <w:p w14:paraId="752BF68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1A4683C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C31C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24" w:type="dxa"/>
            <w:vMerge w:val="restart"/>
            <w:tcBorders>
              <w:bottom w:val="nil"/>
            </w:tcBorders>
            <w:vAlign w:val="top"/>
          </w:tcPr>
          <w:p w14:paraId="6E4F07FC">
            <w:pPr>
              <w:pStyle w:val="20"/>
              <w:keepNext w:val="0"/>
              <w:keepLines w:val="0"/>
              <w:pageBreakBefore w:val="0"/>
              <w:widowControl w:val="0"/>
              <w:kinsoku w:val="0"/>
              <w:wordWrap/>
              <w:overflowPunct/>
              <w:topLinePunct w:val="0"/>
              <w:autoSpaceDE w:val="0"/>
              <w:autoSpaceDN w:val="0"/>
              <w:bidi w:val="0"/>
              <w:adjustRightInd w:val="0"/>
              <w:snapToGrid w:val="0"/>
              <w:spacing w:before="45" w:line="225" w:lineRule="auto"/>
              <w:ind w:left="204" w:right="203"/>
              <w:textAlignment w:val="baseline"/>
            </w:pPr>
            <w:r>
              <w:rPr>
                <w:spacing w:val="6"/>
              </w:rPr>
              <w:t>水电</w:t>
            </w:r>
            <w:r>
              <w:rPr>
                <w:spacing w:val="7"/>
              </w:rPr>
              <w:t>维护</w:t>
            </w:r>
            <w:r>
              <w:rPr>
                <w:spacing w:val="1"/>
              </w:rPr>
              <w:t>(10</w:t>
            </w:r>
            <w:r>
              <w:rPr>
                <w:spacing w:val="19"/>
              </w:rPr>
              <w:t>分)</w:t>
            </w:r>
          </w:p>
        </w:tc>
        <w:tc>
          <w:tcPr>
            <w:tcW w:w="616" w:type="dxa"/>
            <w:vAlign w:val="top"/>
          </w:tcPr>
          <w:p w14:paraId="3045AB06">
            <w:pPr>
              <w:pStyle w:val="20"/>
              <w:keepNext w:val="0"/>
              <w:keepLines w:val="0"/>
              <w:pageBreakBefore w:val="0"/>
              <w:widowControl w:val="0"/>
              <w:kinsoku w:val="0"/>
              <w:wordWrap/>
              <w:overflowPunct/>
              <w:topLinePunct w:val="0"/>
              <w:autoSpaceDE w:val="0"/>
              <w:autoSpaceDN w:val="0"/>
              <w:bidi w:val="0"/>
              <w:adjustRightInd w:val="0"/>
              <w:snapToGrid w:val="0"/>
              <w:spacing w:before="230" w:line="183" w:lineRule="auto"/>
              <w:ind w:left="170"/>
              <w:textAlignment w:val="baseline"/>
            </w:pPr>
            <w:r>
              <w:rPr>
                <w:spacing w:val="-4"/>
              </w:rPr>
              <w:t>37</w:t>
            </w:r>
          </w:p>
        </w:tc>
        <w:tc>
          <w:tcPr>
            <w:tcW w:w="1763" w:type="dxa"/>
            <w:vAlign w:val="top"/>
          </w:tcPr>
          <w:p w14:paraId="4F00463B">
            <w:pPr>
              <w:pStyle w:val="20"/>
              <w:keepNext w:val="0"/>
              <w:keepLines w:val="0"/>
              <w:pageBreakBefore w:val="0"/>
              <w:widowControl w:val="0"/>
              <w:kinsoku w:val="0"/>
              <w:wordWrap/>
              <w:overflowPunct/>
              <w:topLinePunct w:val="0"/>
              <w:autoSpaceDE w:val="0"/>
              <w:autoSpaceDN w:val="0"/>
              <w:bidi w:val="0"/>
              <w:adjustRightInd w:val="0"/>
              <w:snapToGrid w:val="0"/>
              <w:spacing w:before="177" w:line="220" w:lineRule="auto"/>
              <w:ind w:left="111"/>
              <w:textAlignment w:val="baseline"/>
            </w:pPr>
            <w:r>
              <w:rPr>
                <w:spacing w:val="2"/>
              </w:rPr>
              <w:t>日常巡查</w:t>
            </w:r>
          </w:p>
        </w:tc>
        <w:tc>
          <w:tcPr>
            <w:tcW w:w="4499" w:type="dxa"/>
            <w:vAlign w:val="top"/>
          </w:tcPr>
          <w:p w14:paraId="5D977CB2">
            <w:pPr>
              <w:pStyle w:val="20"/>
              <w:keepNext w:val="0"/>
              <w:keepLines w:val="0"/>
              <w:pageBreakBefore w:val="0"/>
              <w:widowControl w:val="0"/>
              <w:kinsoku w:val="0"/>
              <w:wordWrap/>
              <w:overflowPunct/>
              <w:topLinePunct w:val="0"/>
              <w:autoSpaceDE w:val="0"/>
              <w:autoSpaceDN w:val="0"/>
              <w:bidi w:val="0"/>
              <w:adjustRightInd w:val="0"/>
              <w:snapToGrid w:val="0"/>
              <w:spacing w:before="46" w:line="212" w:lineRule="auto"/>
              <w:ind w:left="103" w:right="35"/>
              <w:textAlignment w:val="baseline"/>
            </w:pPr>
            <w:r>
              <w:t>按要求次数巡检，发现问题及时，记录填写</w:t>
            </w:r>
            <w:r>
              <w:rPr>
                <w:spacing w:val="-1"/>
              </w:rPr>
              <w:t>规范清晰，各得2分，共6分</w:t>
            </w:r>
          </w:p>
        </w:tc>
        <w:tc>
          <w:tcPr>
            <w:tcW w:w="886" w:type="dxa"/>
            <w:vAlign w:val="top"/>
          </w:tcPr>
          <w:p w14:paraId="2978F9A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33ABD02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7E64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24" w:type="dxa"/>
            <w:vMerge w:val="continue"/>
            <w:tcBorders>
              <w:top w:val="nil"/>
            </w:tcBorders>
            <w:vAlign w:val="top"/>
          </w:tcPr>
          <w:p w14:paraId="3EE2350C">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616" w:type="dxa"/>
            <w:vAlign w:val="top"/>
          </w:tcPr>
          <w:p w14:paraId="600B6BA1">
            <w:pPr>
              <w:pStyle w:val="20"/>
              <w:keepNext w:val="0"/>
              <w:keepLines w:val="0"/>
              <w:pageBreakBefore w:val="0"/>
              <w:widowControl w:val="0"/>
              <w:kinsoku w:val="0"/>
              <w:wordWrap/>
              <w:overflowPunct/>
              <w:topLinePunct w:val="0"/>
              <w:autoSpaceDE w:val="0"/>
              <w:autoSpaceDN w:val="0"/>
              <w:bidi w:val="0"/>
              <w:adjustRightInd w:val="0"/>
              <w:snapToGrid w:val="0"/>
              <w:spacing w:before="221" w:line="183" w:lineRule="auto"/>
              <w:ind w:left="170"/>
              <w:textAlignment w:val="baseline"/>
            </w:pPr>
            <w:r>
              <w:rPr>
                <w:spacing w:val="-4"/>
              </w:rPr>
              <w:t>38</w:t>
            </w:r>
          </w:p>
        </w:tc>
        <w:tc>
          <w:tcPr>
            <w:tcW w:w="1763" w:type="dxa"/>
            <w:vAlign w:val="top"/>
          </w:tcPr>
          <w:p w14:paraId="4B196741">
            <w:pPr>
              <w:pStyle w:val="20"/>
              <w:keepNext w:val="0"/>
              <w:keepLines w:val="0"/>
              <w:pageBreakBefore w:val="0"/>
              <w:widowControl w:val="0"/>
              <w:kinsoku w:val="0"/>
              <w:wordWrap/>
              <w:overflowPunct/>
              <w:topLinePunct w:val="0"/>
              <w:autoSpaceDE w:val="0"/>
              <w:autoSpaceDN w:val="0"/>
              <w:bidi w:val="0"/>
              <w:adjustRightInd w:val="0"/>
              <w:snapToGrid w:val="0"/>
              <w:spacing w:before="167" w:line="219" w:lineRule="auto"/>
              <w:ind w:left="111"/>
              <w:textAlignment w:val="baseline"/>
            </w:pPr>
            <w:r>
              <w:rPr>
                <w:spacing w:val="-3"/>
              </w:rPr>
              <w:t>故障处置</w:t>
            </w:r>
          </w:p>
        </w:tc>
        <w:tc>
          <w:tcPr>
            <w:tcW w:w="4499" w:type="dxa"/>
            <w:vAlign w:val="top"/>
          </w:tcPr>
          <w:p w14:paraId="5E456C48">
            <w:pPr>
              <w:pStyle w:val="20"/>
              <w:keepNext w:val="0"/>
              <w:keepLines w:val="0"/>
              <w:pageBreakBefore w:val="0"/>
              <w:widowControl w:val="0"/>
              <w:kinsoku w:val="0"/>
              <w:wordWrap/>
              <w:overflowPunct/>
              <w:topLinePunct w:val="0"/>
              <w:autoSpaceDE w:val="0"/>
              <w:autoSpaceDN w:val="0"/>
              <w:bidi w:val="0"/>
              <w:adjustRightInd w:val="0"/>
              <w:snapToGrid w:val="0"/>
              <w:spacing w:before="167" w:line="219" w:lineRule="auto"/>
              <w:ind w:left="103"/>
              <w:textAlignment w:val="baseline"/>
            </w:pPr>
            <w:r>
              <w:t>处置及时，效果较好，各得2分，共4分</w:t>
            </w:r>
          </w:p>
        </w:tc>
        <w:tc>
          <w:tcPr>
            <w:tcW w:w="886" w:type="dxa"/>
            <w:vAlign w:val="top"/>
          </w:tcPr>
          <w:p w14:paraId="2F8E513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3642F44D">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1DA2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24" w:type="dxa"/>
            <w:vAlign w:val="top"/>
          </w:tcPr>
          <w:p w14:paraId="394D0A29">
            <w:pPr>
              <w:pStyle w:val="20"/>
              <w:keepNext w:val="0"/>
              <w:keepLines w:val="0"/>
              <w:pageBreakBefore w:val="0"/>
              <w:widowControl w:val="0"/>
              <w:kinsoku w:val="0"/>
              <w:wordWrap/>
              <w:overflowPunct/>
              <w:topLinePunct w:val="0"/>
              <w:autoSpaceDE w:val="0"/>
              <w:autoSpaceDN w:val="0"/>
              <w:bidi w:val="0"/>
              <w:adjustRightInd w:val="0"/>
              <w:snapToGrid w:val="0"/>
              <w:spacing w:before="68" w:line="219" w:lineRule="auto"/>
              <w:ind w:left="105"/>
              <w:textAlignment w:val="baseline"/>
            </w:pPr>
            <w:r>
              <w:rPr>
                <w:spacing w:val="4"/>
              </w:rPr>
              <w:t>人员到</w:t>
            </w:r>
          </w:p>
          <w:p w14:paraId="46271C92">
            <w:pPr>
              <w:pStyle w:val="20"/>
              <w:keepNext w:val="0"/>
              <w:keepLines w:val="0"/>
              <w:pageBreakBefore w:val="0"/>
              <w:widowControl w:val="0"/>
              <w:kinsoku w:val="0"/>
              <w:wordWrap/>
              <w:overflowPunct/>
              <w:topLinePunct w:val="0"/>
              <w:autoSpaceDE w:val="0"/>
              <w:autoSpaceDN w:val="0"/>
              <w:bidi w:val="0"/>
              <w:adjustRightInd w:val="0"/>
              <w:snapToGrid w:val="0"/>
              <w:spacing w:line="219" w:lineRule="auto"/>
              <w:ind w:left="204"/>
              <w:textAlignment w:val="baseline"/>
            </w:pPr>
            <w:r>
              <w:rPr>
                <w:spacing w:val="4"/>
              </w:rPr>
              <w:t>岗率</w:t>
            </w:r>
          </w:p>
          <w:p w14:paraId="4754C6C4">
            <w:pPr>
              <w:pStyle w:val="20"/>
              <w:keepNext w:val="0"/>
              <w:keepLines w:val="0"/>
              <w:pageBreakBefore w:val="0"/>
              <w:widowControl w:val="0"/>
              <w:kinsoku w:val="0"/>
              <w:wordWrap/>
              <w:overflowPunct/>
              <w:topLinePunct w:val="0"/>
              <w:autoSpaceDE w:val="0"/>
              <w:autoSpaceDN w:val="0"/>
              <w:bidi w:val="0"/>
              <w:adjustRightInd w:val="0"/>
              <w:snapToGrid w:val="0"/>
              <w:spacing w:before="24" w:line="174" w:lineRule="auto"/>
              <w:ind w:left="254"/>
              <w:textAlignment w:val="baseline"/>
            </w:pPr>
            <w:r>
              <w:rPr>
                <w:spacing w:val="-11"/>
              </w:rPr>
              <w:t>(2)</w:t>
            </w:r>
          </w:p>
        </w:tc>
        <w:tc>
          <w:tcPr>
            <w:tcW w:w="616" w:type="dxa"/>
            <w:vAlign w:val="top"/>
          </w:tcPr>
          <w:p w14:paraId="5F41104A">
            <w:pPr>
              <w:keepNext w:val="0"/>
              <w:keepLines w:val="0"/>
              <w:pageBreakBefore w:val="0"/>
              <w:widowControl w:val="0"/>
              <w:kinsoku w:val="0"/>
              <w:wordWrap/>
              <w:overflowPunct/>
              <w:topLinePunct w:val="0"/>
              <w:autoSpaceDE w:val="0"/>
              <w:autoSpaceDN w:val="0"/>
              <w:bidi w:val="0"/>
              <w:adjustRightInd w:val="0"/>
              <w:snapToGrid w:val="0"/>
              <w:spacing w:line="291" w:lineRule="auto"/>
              <w:textAlignment w:val="baseline"/>
              <w:rPr>
                <w:rFonts w:ascii="Arial"/>
                <w:sz w:val="21"/>
              </w:rPr>
            </w:pPr>
          </w:p>
          <w:p w14:paraId="3558FB49">
            <w:pPr>
              <w:pStyle w:val="20"/>
              <w:keepNext w:val="0"/>
              <w:keepLines w:val="0"/>
              <w:pageBreakBefore w:val="0"/>
              <w:widowControl w:val="0"/>
              <w:kinsoku w:val="0"/>
              <w:wordWrap/>
              <w:overflowPunct/>
              <w:topLinePunct w:val="0"/>
              <w:autoSpaceDE w:val="0"/>
              <w:autoSpaceDN w:val="0"/>
              <w:bidi w:val="0"/>
              <w:adjustRightInd w:val="0"/>
              <w:snapToGrid w:val="0"/>
              <w:spacing w:before="68" w:line="183" w:lineRule="auto"/>
              <w:ind w:left="170"/>
              <w:textAlignment w:val="baseline"/>
            </w:pPr>
            <w:r>
              <w:rPr>
                <w:spacing w:val="-4"/>
              </w:rPr>
              <w:t>39</w:t>
            </w:r>
          </w:p>
        </w:tc>
        <w:tc>
          <w:tcPr>
            <w:tcW w:w="1763" w:type="dxa"/>
            <w:vAlign w:val="top"/>
          </w:tcPr>
          <w:p w14:paraId="2B8673E5">
            <w:pPr>
              <w:pStyle w:val="20"/>
              <w:keepNext w:val="0"/>
              <w:keepLines w:val="0"/>
              <w:pageBreakBefore w:val="0"/>
              <w:widowControl w:val="0"/>
              <w:kinsoku w:val="0"/>
              <w:wordWrap/>
              <w:overflowPunct/>
              <w:topLinePunct w:val="0"/>
              <w:autoSpaceDE w:val="0"/>
              <w:autoSpaceDN w:val="0"/>
              <w:bidi w:val="0"/>
              <w:adjustRightInd w:val="0"/>
              <w:snapToGrid w:val="0"/>
              <w:spacing w:before="307" w:line="219" w:lineRule="auto"/>
              <w:ind w:left="111"/>
              <w:textAlignment w:val="baseline"/>
            </w:pPr>
            <w:r>
              <w:rPr>
                <w:spacing w:val="-2"/>
              </w:rPr>
              <w:t>人员到岗率</w:t>
            </w:r>
          </w:p>
        </w:tc>
        <w:tc>
          <w:tcPr>
            <w:tcW w:w="4499" w:type="dxa"/>
            <w:vAlign w:val="top"/>
          </w:tcPr>
          <w:p w14:paraId="544CC4C3">
            <w:pPr>
              <w:pStyle w:val="20"/>
              <w:keepNext w:val="0"/>
              <w:keepLines w:val="0"/>
              <w:pageBreakBefore w:val="0"/>
              <w:widowControl w:val="0"/>
              <w:kinsoku w:val="0"/>
              <w:wordWrap/>
              <w:overflowPunct/>
              <w:topLinePunct w:val="0"/>
              <w:autoSpaceDE w:val="0"/>
              <w:autoSpaceDN w:val="0"/>
              <w:bidi w:val="0"/>
              <w:adjustRightInd w:val="0"/>
              <w:snapToGrid w:val="0"/>
              <w:spacing w:before="163" w:line="236" w:lineRule="auto"/>
              <w:ind w:left="103" w:right="270"/>
              <w:textAlignment w:val="baseline"/>
            </w:pPr>
            <w:r>
              <w:rPr>
                <w:spacing w:val="-1"/>
              </w:rPr>
              <w:t>按人员配置要求到岗率100%,得2分，未达</w:t>
            </w:r>
            <w:r>
              <w:rPr>
                <w:spacing w:val="1"/>
              </w:rPr>
              <w:t>到100%不得分</w:t>
            </w:r>
          </w:p>
        </w:tc>
        <w:tc>
          <w:tcPr>
            <w:tcW w:w="886" w:type="dxa"/>
            <w:vAlign w:val="top"/>
          </w:tcPr>
          <w:p w14:paraId="44C4AFC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53D1F2B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191F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802" w:type="dxa"/>
            <w:gridSpan w:val="4"/>
            <w:vAlign w:val="top"/>
          </w:tcPr>
          <w:p w14:paraId="640D2EF3">
            <w:pPr>
              <w:pStyle w:val="20"/>
              <w:keepNext w:val="0"/>
              <w:keepLines w:val="0"/>
              <w:pageBreakBefore w:val="0"/>
              <w:widowControl w:val="0"/>
              <w:kinsoku w:val="0"/>
              <w:wordWrap/>
              <w:overflowPunct/>
              <w:topLinePunct w:val="0"/>
              <w:autoSpaceDE w:val="0"/>
              <w:autoSpaceDN w:val="0"/>
              <w:bidi w:val="0"/>
              <w:adjustRightInd w:val="0"/>
              <w:snapToGrid w:val="0"/>
              <w:spacing w:before="159" w:line="221" w:lineRule="auto"/>
              <w:ind w:left="3404"/>
              <w:textAlignment w:val="baseline"/>
            </w:pPr>
            <w:r>
              <w:rPr>
                <w:spacing w:val="-3"/>
              </w:rPr>
              <w:t>合计</w:t>
            </w:r>
          </w:p>
        </w:tc>
        <w:tc>
          <w:tcPr>
            <w:tcW w:w="886" w:type="dxa"/>
            <w:vAlign w:val="top"/>
          </w:tcPr>
          <w:p w14:paraId="1D4312A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849" w:type="dxa"/>
            <w:vAlign w:val="top"/>
          </w:tcPr>
          <w:p w14:paraId="76E851E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bl>
    <w:p w14:paraId="39F9968D">
      <w:pPr>
        <w:pStyle w:val="5"/>
        <w:keepNext w:val="0"/>
        <w:keepLines w:val="0"/>
        <w:pageBreakBefore w:val="0"/>
        <w:widowControl w:val="0"/>
        <w:kinsoku w:val="0"/>
        <w:wordWrap/>
        <w:overflowPunct/>
        <w:topLinePunct w:val="0"/>
        <w:autoSpaceDE w:val="0"/>
        <w:autoSpaceDN w:val="0"/>
        <w:bidi w:val="0"/>
        <w:adjustRightInd w:val="0"/>
        <w:snapToGrid w:val="0"/>
        <w:spacing w:before="200" w:line="230" w:lineRule="auto"/>
        <w:ind w:left="794"/>
        <w:textAlignment w:val="baseline"/>
        <w:rPr>
          <w:rFonts w:hint="eastAsia" w:eastAsia="仿宋"/>
          <w:sz w:val="24"/>
          <w:szCs w:val="24"/>
          <w:lang w:eastAsia="zh-CN"/>
        </w:rPr>
      </w:pPr>
      <w:r>
        <w:rPr>
          <w:spacing w:val="14"/>
          <w:position w:val="2"/>
          <w:sz w:val="24"/>
          <w:szCs w:val="24"/>
        </w:rPr>
        <w:t>检查人(签名):</w:t>
      </w:r>
      <w:r>
        <w:rPr>
          <w:rFonts w:hint="eastAsia"/>
          <w:spacing w:val="14"/>
          <w:position w:val="2"/>
          <w:sz w:val="24"/>
          <w:szCs w:val="24"/>
          <w:lang w:val="en-US" w:eastAsia="zh-CN"/>
        </w:rPr>
        <w:t xml:space="preserve">                   </w:t>
      </w:r>
      <w:r>
        <w:rPr>
          <w:spacing w:val="14"/>
          <w:position w:val="-1"/>
          <w:sz w:val="24"/>
          <w:szCs w:val="24"/>
        </w:rPr>
        <w:t>服务单位主管(签名)</w:t>
      </w:r>
      <w:r>
        <w:rPr>
          <w:rFonts w:hint="eastAsia"/>
          <w:spacing w:val="14"/>
          <w:position w:val="-1"/>
          <w:sz w:val="24"/>
          <w:szCs w:val="24"/>
          <w:lang w:eastAsia="zh-CN"/>
        </w:rPr>
        <w:t>：</w:t>
      </w:r>
    </w:p>
    <w:p w14:paraId="7323DB70">
      <w:pPr>
        <w:pStyle w:val="5"/>
        <w:keepNext w:val="0"/>
        <w:keepLines w:val="0"/>
        <w:pageBreakBefore w:val="0"/>
        <w:widowControl w:val="0"/>
        <w:kinsoku w:val="0"/>
        <w:wordWrap/>
        <w:overflowPunct/>
        <w:topLinePunct w:val="0"/>
        <w:autoSpaceDE w:val="0"/>
        <w:autoSpaceDN w:val="0"/>
        <w:bidi w:val="0"/>
        <w:adjustRightInd w:val="0"/>
        <w:snapToGrid w:val="0"/>
        <w:spacing w:before="259" w:line="222" w:lineRule="auto"/>
        <w:ind w:left="5304"/>
        <w:textAlignment w:val="baseline"/>
        <w:rPr>
          <w:sz w:val="24"/>
          <w:szCs w:val="24"/>
        </w:rPr>
        <w:sectPr>
          <w:pgSz w:w="11910" w:h="16840"/>
          <w:pgMar w:top="1440" w:right="1080" w:bottom="1440" w:left="1080" w:header="0" w:footer="0" w:gutter="0"/>
          <w:cols w:space="720" w:num="1"/>
        </w:sectPr>
      </w:pPr>
      <w:r>
        <w:rPr>
          <w:spacing w:val="-20"/>
          <w:sz w:val="24"/>
          <w:szCs w:val="24"/>
        </w:rPr>
        <w:t>时间：</w:t>
      </w:r>
      <w:r>
        <w:rPr>
          <w:rFonts w:hint="eastAsia"/>
          <w:spacing w:val="-20"/>
          <w:sz w:val="24"/>
          <w:szCs w:val="24"/>
          <w:lang w:val="en-US" w:eastAsia="zh-CN"/>
        </w:rPr>
        <w:t xml:space="preserve">    </w:t>
      </w:r>
      <w:r>
        <w:rPr>
          <w:spacing w:val="-20"/>
          <w:sz w:val="24"/>
          <w:szCs w:val="24"/>
        </w:rPr>
        <w:t>年</w:t>
      </w:r>
      <w:r>
        <w:rPr>
          <w:rFonts w:hint="eastAsia"/>
          <w:spacing w:val="-20"/>
          <w:sz w:val="24"/>
          <w:szCs w:val="24"/>
          <w:lang w:val="en-US" w:eastAsia="zh-CN"/>
        </w:rPr>
        <w:t xml:space="preserve">   </w:t>
      </w:r>
      <w:r>
        <w:rPr>
          <w:spacing w:val="-20"/>
          <w:sz w:val="24"/>
          <w:szCs w:val="24"/>
        </w:rPr>
        <w:t>月</w:t>
      </w:r>
      <w:r>
        <w:rPr>
          <w:rFonts w:hint="eastAsia"/>
          <w:spacing w:val="-20"/>
          <w:sz w:val="24"/>
          <w:szCs w:val="24"/>
          <w:lang w:val="en-US" w:eastAsia="zh-CN"/>
        </w:rPr>
        <w:t xml:space="preserve">   </w:t>
      </w:r>
      <w:r>
        <w:rPr>
          <w:spacing w:val="-20"/>
          <w:sz w:val="24"/>
          <w:szCs w:val="24"/>
        </w:rPr>
        <w:t>日</w:t>
      </w:r>
    </w:p>
    <w:p w14:paraId="7E9FBA65">
      <w:pPr>
        <w:keepNext w:val="0"/>
        <w:keepLines w:val="0"/>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750158CF">
      <w:pPr>
        <w:pStyle w:val="5"/>
        <w:keepNext w:val="0"/>
        <w:keepLines w:val="0"/>
        <w:pageBreakBefore w:val="0"/>
        <w:widowControl w:val="0"/>
        <w:kinsoku w:val="0"/>
        <w:wordWrap/>
        <w:overflowPunct/>
        <w:topLinePunct w:val="0"/>
        <w:autoSpaceDE w:val="0"/>
        <w:autoSpaceDN w:val="0"/>
        <w:bidi w:val="0"/>
        <w:adjustRightInd w:val="0"/>
        <w:snapToGrid w:val="0"/>
        <w:spacing w:before="78" w:line="221" w:lineRule="auto"/>
        <w:textAlignment w:val="baseline"/>
        <w:rPr>
          <w:sz w:val="28"/>
          <w:szCs w:val="28"/>
        </w:rPr>
      </w:pPr>
      <w:r>
        <w:rPr>
          <w:b/>
          <w:bCs/>
          <w:spacing w:val="-3"/>
          <w:sz w:val="28"/>
          <w:szCs w:val="28"/>
        </w:rPr>
        <w:t>表三、广东省粤东技师学院梅州校区物业管理服务月验收考</w:t>
      </w:r>
      <w:r>
        <w:rPr>
          <w:b/>
          <w:bCs/>
          <w:spacing w:val="-4"/>
          <w:sz w:val="28"/>
          <w:szCs w:val="28"/>
        </w:rPr>
        <w:t>核汇总表</w:t>
      </w:r>
    </w:p>
    <w:p w14:paraId="7D9EBF28">
      <w:pPr>
        <w:keepNext w:val="0"/>
        <w:keepLines w:val="0"/>
        <w:pageBreakBefore w:val="0"/>
        <w:widowControl w:val="0"/>
        <w:kinsoku w:val="0"/>
        <w:wordWrap/>
        <w:overflowPunct/>
        <w:topLinePunct w:val="0"/>
        <w:autoSpaceDE w:val="0"/>
        <w:autoSpaceDN w:val="0"/>
        <w:bidi w:val="0"/>
        <w:adjustRightInd w:val="0"/>
        <w:snapToGrid w:val="0"/>
        <w:spacing w:before="11"/>
        <w:textAlignment w:val="baseline"/>
      </w:pPr>
    </w:p>
    <w:p w14:paraId="7CEFEFB2">
      <w:pPr>
        <w:keepNext w:val="0"/>
        <w:keepLines w:val="0"/>
        <w:pageBreakBefore w:val="0"/>
        <w:widowControl w:val="0"/>
        <w:kinsoku w:val="0"/>
        <w:wordWrap/>
        <w:overflowPunct/>
        <w:topLinePunct w:val="0"/>
        <w:autoSpaceDE w:val="0"/>
        <w:autoSpaceDN w:val="0"/>
        <w:bidi w:val="0"/>
        <w:adjustRightInd w:val="0"/>
        <w:snapToGrid w:val="0"/>
        <w:spacing w:before="11"/>
        <w:textAlignment w:val="baseline"/>
      </w:pPr>
    </w:p>
    <w:tbl>
      <w:tblPr>
        <w:tblStyle w:val="21"/>
        <w:tblW w:w="7850"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846"/>
        <w:gridCol w:w="1009"/>
        <w:gridCol w:w="1288"/>
        <w:gridCol w:w="824"/>
      </w:tblGrid>
      <w:tr w14:paraId="3445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883" w:type="dxa"/>
            <w:vAlign w:val="top"/>
          </w:tcPr>
          <w:p w14:paraId="62F41CB2">
            <w:pPr>
              <w:pStyle w:val="20"/>
              <w:keepNext w:val="0"/>
              <w:keepLines w:val="0"/>
              <w:pageBreakBefore w:val="0"/>
              <w:widowControl w:val="0"/>
              <w:kinsoku w:val="0"/>
              <w:wordWrap/>
              <w:overflowPunct/>
              <w:topLinePunct w:val="0"/>
              <w:autoSpaceDE w:val="0"/>
              <w:autoSpaceDN w:val="0"/>
              <w:bidi w:val="0"/>
              <w:adjustRightInd w:val="0"/>
              <w:snapToGrid w:val="0"/>
              <w:spacing w:before="243" w:line="219" w:lineRule="auto"/>
              <w:ind w:left="514"/>
              <w:textAlignment w:val="baseline"/>
            </w:pPr>
            <w:r>
              <w:rPr>
                <w:spacing w:val="4"/>
              </w:rPr>
              <w:t>考核类别</w:t>
            </w:r>
          </w:p>
        </w:tc>
        <w:tc>
          <w:tcPr>
            <w:tcW w:w="2846" w:type="dxa"/>
            <w:vAlign w:val="top"/>
          </w:tcPr>
          <w:p w14:paraId="28DFBDB8">
            <w:pPr>
              <w:pStyle w:val="20"/>
              <w:keepNext w:val="0"/>
              <w:keepLines w:val="0"/>
              <w:pageBreakBefore w:val="0"/>
              <w:widowControl w:val="0"/>
              <w:kinsoku w:val="0"/>
              <w:wordWrap/>
              <w:overflowPunct/>
              <w:topLinePunct w:val="0"/>
              <w:autoSpaceDE w:val="0"/>
              <w:autoSpaceDN w:val="0"/>
              <w:bidi w:val="0"/>
              <w:adjustRightInd w:val="0"/>
              <w:snapToGrid w:val="0"/>
              <w:spacing w:before="243" w:line="219" w:lineRule="auto"/>
              <w:ind w:left="991"/>
              <w:textAlignment w:val="baseline"/>
            </w:pPr>
            <w:r>
              <w:rPr>
                <w:spacing w:val="-2"/>
              </w:rPr>
              <w:t>考核方式</w:t>
            </w:r>
          </w:p>
        </w:tc>
        <w:tc>
          <w:tcPr>
            <w:tcW w:w="1009" w:type="dxa"/>
            <w:vAlign w:val="top"/>
          </w:tcPr>
          <w:p w14:paraId="2A678582">
            <w:pPr>
              <w:pStyle w:val="20"/>
              <w:keepNext w:val="0"/>
              <w:keepLines w:val="0"/>
              <w:pageBreakBefore w:val="0"/>
              <w:widowControl w:val="0"/>
              <w:kinsoku w:val="0"/>
              <w:wordWrap/>
              <w:overflowPunct/>
              <w:topLinePunct w:val="0"/>
              <w:autoSpaceDE w:val="0"/>
              <w:autoSpaceDN w:val="0"/>
              <w:bidi w:val="0"/>
              <w:adjustRightInd w:val="0"/>
              <w:snapToGrid w:val="0"/>
              <w:spacing w:before="243" w:line="219" w:lineRule="auto"/>
              <w:ind w:left="95"/>
              <w:textAlignment w:val="baseline"/>
            </w:pPr>
            <w:r>
              <w:rPr>
                <w:spacing w:val="-2"/>
              </w:rPr>
              <w:t>平均分数</w:t>
            </w:r>
          </w:p>
        </w:tc>
        <w:tc>
          <w:tcPr>
            <w:tcW w:w="1288" w:type="dxa"/>
            <w:vAlign w:val="top"/>
          </w:tcPr>
          <w:p w14:paraId="2FD93A43">
            <w:pPr>
              <w:pStyle w:val="20"/>
              <w:keepNext w:val="0"/>
              <w:keepLines w:val="0"/>
              <w:pageBreakBefore w:val="0"/>
              <w:widowControl w:val="0"/>
              <w:kinsoku w:val="0"/>
              <w:wordWrap/>
              <w:overflowPunct/>
              <w:topLinePunct w:val="0"/>
              <w:autoSpaceDE w:val="0"/>
              <w:autoSpaceDN w:val="0"/>
              <w:bidi w:val="0"/>
              <w:adjustRightInd w:val="0"/>
              <w:snapToGrid w:val="0"/>
              <w:spacing w:before="244" w:line="220" w:lineRule="auto"/>
              <w:ind w:left="217"/>
              <w:textAlignment w:val="baseline"/>
            </w:pPr>
            <w:r>
              <w:rPr>
                <w:spacing w:val="4"/>
              </w:rPr>
              <w:t>所占比例</w:t>
            </w:r>
          </w:p>
        </w:tc>
        <w:tc>
          <w:tcPr>
            <w:tcW w:w="824" w:type="dxa"/>
            <w:vAlign w:val="top"/>
          </w:tcPr>
          <w:p w14:paraId="58506C8D">
            <w:pPr>
              <w:pStyle w:val="20"/>
              <w:keepNext w:val="0"/>
              <w:keepLines w:val="0"/>
              <w:pageBreakBefore w:val="0"/>
              <w:widowControl w:val="0"/>
              <w:kinsoku w:val="0"/>
              <w:wordWrap/>
              <w:overflowPunct/>
              <w:topLinePunct w:val="0"/>
              <w:autoSpaceDE w:val="0"/>
              <w:autoSpaceDN w:val="0"/>
              <w:bidi w:val="0"/>
              <w:adjustRightInd w:val="0"/>
              <w:snapToGrid w:val="0"/>
              <w:spacing w:before="243" w:line="219" w:lineRule="auto"/>
              <w:ind w:left="218"/>
              <w:textAlignment w:val="baseline"/>
            </w:pPr>
            <w:r>
              <w:rPr>
                <w:spacing w:val="-3"/>
              </w:rPr>
              <w:t>得分</w:t>
            </w:r>
          </w:p>
        </w:tc>
      </w:tr>
      <w:tr w14:paraId="2936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883" w:type="dxa"/>
            <w:vMerge w:val="restart"/>
            <w:tcBorders>
              <w:bottom w:val="nil"/>
            </w:tcBorders>
            <w:vAlign w:val="top"/>
          </w:tcPr>
          <w:p w14:paraId="59D2EAEB">
            <w:pPr>
              <w:keepNext w:val="0"/>
              <w:keepLines w:val="0"/>
              <w:pageBreakBefore w:val="0"/>
              <w:widowControl w:val="0"/>
              <w:kinsoku w:val="0"/>
              <w:wordWrap/>
              <w:overflowPunct/>
              <w:topLinePunct w:val="0"/>
              <w:autoSpaceDE w:val="0"/>
              <w:autoSpaceDN w:val="0"/>
              <w:bidi w:val="0"/>
              <w:adjustRightInd w:val="0"/>
              <w:snapToGrid w:val="0"/>
              <w:spacing w:line="419" w:lineRule="auto"/>
              <w:textAlignment w:val="baseline"/>
              <w:rPr>
                <w:rFonts w:ascii="Arial"/>
                <w:sz w:val="21"/>
              </w:rPr>
            </w:pPr>
          </w:p>
          <w:p w14:paraId="69637D8C">
            <w:pPr>
              <w:pStyle w:val="20"/>
              <w:keepNext w:val="0"/>
              <w:keepLines w:val="0"/>
              <w:pageBreakBefore w:val="0"/>
              <w:widowControl w:val="0"/>
              <w:kinsoku w:val="0"/>
              <w:wordWrap/>
              <w:overflowPunct/>
              <w:topLinePunct w:val="0"/>
              <w:autoSpaceDE w:val="0"/>
              <w:autoSpaceDN w:val="0"/>
              <w:bidi w:val="0"/>
              <w:adjustRightInd w:val="0"/>
              <w:snapToGrid w:val="0"/>
              <w:spacing w:before="68" w:line="224" w:lineRule="auto"/>
              <w:ind w:left="614" w:hanging="599"/>
              <w:textAlignment w:val="baseline"/>
            </w:pPr>
            <w:r>
              <w:rPr>
                <w:spacing w:val="-4"/>
              </w:rPr>
              <w:t>保洁、绿化及水电维</w:t>
            </w:r>
            <w:r>
              <w:rPr>
                <w:spacing w:val="-3"/>
              </w:rPr>
              <w:t>护服务</w:t>
            </w:r>
          </w:p>
        </w:tc>
        <w:tc>
          <w:tcPr>
            <w:tcW w:w="2846" w:type="dxa"/>
            <w:vAlign w:val="top"/>
          </w:tcPr>
          <w:p w14:paraId="5294C7EE">
            <w:pPr>
              <w:pStyle w:val="20"/>
              <w:keepNext w:val="0"/>
              <w:keepLines w:val="0"/>
              <w:pageBreakBefore w:val="0"/>
              <w:widowControl w:val="0"/>
              <w:kinsoku w:val="0"/>
              <w:wordWrap/>
              <w:overflowPunct/>
              <w:topLinePunct w:val="0"/>
              <w:autoSpaceDE w:val="0"/>
              <w:autoSpaceDN w:val="0"/>
              <w:bidi w:val="0"/>
              <w:adjustRightInd w:val="0"/>
              <w:snapToGrid w:val="0"/>
              <w:spacing w:before="128" w:line="229" w:lineRule="auto"/>
              <w:ind w:left="151" w:right="44" w:hanging="99"/>
              <w:textAlignment w:val="baseline"/>
            </w:pPr>
            <w:r>
              <w:t>由后勤部门按保洁及绿化服务</w:t>
            </w:r>
            <w:r>
              <w:rPr>
                <w:spacing w:val="1"/>
              </w:rPr>
              <w:t>月验收考核评分表内容考核</w:t>
            </w:r>
          </w:p>
        </w:tc>
        <w:tc>
          <w:tcPr>
            <w:tcW w:w="1009" w:type="dxa"/>
            <w:vAlign w:val="top"/>
          </w:tcPr>
          <w:p w14:paraId="6B9BDED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1288" w:type="dxa"/>
            <w:vAlign w:val="top"/>
          </w:tcPr>
          <w:p w14:paraId="00C918D5">
            <w:pPr>
              <w:pStyle w:val="20"/>
              <w:keepNext w:val="0"/>
              <w:keepLines w:val="0"/>
              <w:pageBreakBefore w:val="0"/>
              <w:widowControl w:val="0"/>
              <w:kinsoku w:val="0"/>
              <w:wordWrap/>
              <w:overflowPunct/>
              <w:topLinePunct w:val="0"/>
              <w:autoSpaceDE w:val="0"/>
              <w:autoSpaceDN w:val="0"/>
              <w:bidi w:val="0"/>
              <w:adjustRightInd w:val="0"/>
              <w:snapToGrid w:val="0"/>
              <w:spacing w:before="304" w:line="183" w:lineRule="auto"/>
              <w:ind w:left="476"/>
              <w:textAlignment w:val="baseline"/>
            </w:pPr>
            <w:r>
              <w:rPr>
                <w:spacing w:val="-3"/>
              </w:rPr>
              <w:t>50%</w:t>
            </w:r>
          </w:p>
        </w:tc>
        <w:tc>
          <w:tcPr>
            <w:tcW w:w="824" w:type="dxa"/>
            <w:vAlign w:val="top"/>
          </w:tcPr>
          <w:p w14:paraId="63C52CC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69D2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83" w:type="dxa"/>
            <w:vMerge w:val="continue"/>
            <w:tcBorders>
              <w:top w:val="nil"/>
            </w:tcBorders>
            <w:vAlign w:val="top"/>
          </w:tcPr>
          <w:p w14:paraId="59CDEAAA">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2846" w:type="dxa"/>
            <w:vAlign w:val="top"/>
          </w:tcPr>
          <w:p w14:paraId="7B69ECA3">
            <w:pPr>
              <w:pStyle w:val="20"/>
              <w:keepNext w:val="0"/>
              <w:keepLines w:val="0"/>
              <w:pageBreakBefore w:val="0"/>
              <w:widowControl w:val="0"/>
              <w:kinsoku w:val="0"/>
              <w:wordWrap/>
              <w:overflowPunct/>
              <w:topLinePunct w:val="0"/>
              <w:autoSpaceDE w:val="0"/>
              <w:autoSpaceDN w:val="0"/>
              <w:bidi w:val="0"/>
              <w:adjustRightInd w:val="0"/>
              <w:snapToGrid w:val="0"/>
              <w:spacing w:before="133" w:line="228" w:lineRule="auto"/>
              <w:ind w:left="781" w:right="45" w:hanging="729"/>
              <w:textAlignment w:val="baseline"/>
            </w:pPr>
            <w:r>
              <w:t>由日常检查人员按日常检查评</w:t>
            </w:r>
            <w:r>
              <w:rPr>
                <w:spacing w:val="2"/>
              </w:rPr>
              <w:t>分表内容考核</w:t>
            </w:r>
          </w:p>
        </w:tc>
        <w:tc>
          <w:tcPr>
            <w:tcW w:w="1009" w:type="dxa"/>
            <w:vAlign w:val="top"/>
          </w:tcPr>
          <w:p w14:paraId="7E15A78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1288" w:type="dxa"/>
            <w:vAlign w:val="top"/>
          </w:tcPr>
          <w:p w14:paraId="4113C5DF">
            <w:pPr>
              <w:pStyle w:val="20"/>
              <w:keepNext w:val="0"/>
              <w:keepLines w:val="0"/>
              <w:pageBreakBefore w:val="0"/>
              <w:widowControl w:val="0"/>
              <w:kinsoku w:val="0"/>
              <w:wordWrap/>
              <w:overflowPunct/>
              <w:topLinePunct w:val="0"/>
              <w:autoSpaceDE w:val="0"/>
              <w:autoSpaceDN w:val="0"/>
              <w:bidi w:val="0"/>
              <w:adjustRightInd w:val="0"/>
              <w:snapToGrid w:val="0"/>
              <w:spacing w:before="306" w:line="183" w:lineRule="auto"/>
              <w:ind w:left="476"/>
              <w:textAlignment w:val="baseline"/>
            </w:pPr>
            <w:r>
              <w:rPr>
                <w:spacing w:val="-3"/>
              </w:rPr>
              <w:t>50%</w:t>
            </w:r>
          </w:p>
        </w:tc>
        <w:tc>
          <w:tcPr>
            <w:tcW w:w="824" w:type="dxa"/>
            <w:vAlign w:val="top"/>
          </w:tcPr>
          <w:p w14:paraId="3EBD9D1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1692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729" w:type="dxa"/>
            <w:gridSpan w:val="2"/>
            <w:vAlign w:val="top"/>
          </w:tcPr>
          <w:p w14:paraId="418EA9AA">
            <w:pPr>
              <w:pStyle w:val="20"/>
              <w:keepNext w:val="0"/>
              <w:keepLines w:val="0"/>
              <w:pageBreakBefore w:val="0"/>
              <w:widowControl w:val="0"/>
              <w:kinsoku w:val="0"/>
              <w:wordWrap/>
              <w:overflowPunct/>
              <w:topLinePunct w:val="0"/>
              <w:autoSpaceDE w:val="0"/>
              <w:autoSpaceDN w:val="0"/>
              <w:bidi w:val="0"/>
              <w:adjustRightInd w:val="0"/>
              <w:snapToGrid w:val="0"/>
              <w:spacing w:before="243" w:line="219" w:lineRule="auto"/>
              <w:ind w:left="1645"/>
              <w:textAlignment w:val="baseline"/>
            </w:pPr>
            <w:r>
              <w:rPr>
                <w:spacing w:val="-1"/>
              </w:rPr>
              <w:t>综合考核得分：</w:t>
            </w:r>
          </w:p>
        </w:tc>
        <w:tc>
          <w:tcPr>
            <w:tcW w:w="3121" w:type="dxa"/>
            <w:gridSpan w:val="3"/>
            <w:vAlign w:val="top"/>
          </w:tcPr>
          <w:p w14:paraId="6A943A6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r w14:paraId="5D64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7850" w:type="dxa"/>
            <w:gridSpan w:val="5"/>
            <w:vAlign w:val="top"/>
          </w:tcPr>
          <w:p w14:paraId="1432F502">
            <w:pPr>
              <w:pStyle w:val="20"/>
              <w:keepNext w:val="0"/>
              <w:keepLines w:val="0"/>
              <w:pageBreakBefore w:val="0"/>
              <w:widowControl w:val="0"/>
              <w:kinsoku w:val="0"/>
              <w:wordWrap/>
              <w:overflowPunct/>
              <w:topLinePunct w:val="0"/>
              <w:autoSpaceDE w:val="0"/>
              <w:autoSpaceDN w:val="0"/>
              <w:bidi w:val="0"/>
              <w:adjustRightInd w:val="0"/>
              <w:snapToGrid w:val="0"/>
              <w:spacing w:before="31" w:line="227" w:lineRule="auto"/>
              <w:ind w:left="15" w:right="170"/>
              <w:textAlignment w:val="baseline"/>
            </w:pPr>
            <w:r>
              <w:t>说明：综合考核得分达到85分或以上的，视为考核结果“合格</w:t>
            </w:r>
            <w:r>
              <w:rPr>
                <w:spacing w:val="-1"/>
              </w:rPr>
              <w:t>”,按月结费用的100%</w:t>
            </w:r>
            <w:r>
              <w:t>支付；综合得分为75-85分，视为考核结果“基本合格”,按月结费用的85%支付，</w:t>
            </w:r>
          </w:p>
          <w:p w14:paraId="12A9BFC9">
            <w:pPr>
              <w:pStyle w:val="20"/>
              <w:keepNext w:val="0"/>
              <w:keepLines w:val="0"/>
              <w:pageBreakBefore w:val="0"/>
              <w:widowControl w:val="0"/>
              <w:kinsoku w:val="0"/>
              <w:wordWrap/>
              <w:overflowPunct/>
              <w:topLinePunct w:val="0"/>
              <w:autoSpaceDE w:val="0"/>
              <w:autoSpaceDN w:val="0"/>
              <w:bidi w:val="0"/>
              <w:adjustRightInd w:val="0"/>
              <w:snapToGrid w:val="0"/>
              <w:spacing w:before="24"/>
              <w:ind w:left="15" w:right="167"/>
              <w:textAlignment w:val="baseline"/>
            </w:pPr>
            <w:r>
              <w:t>并启动整改机制；考核分数未达到“基本合格”的</w:t>
            </w:r>
            <w:r>
              <w:rPr>
                <w:spacing w:val="-1"/>
              </w:rPr>
              <w:t>，或一个年度内出现3次“基本合</w:t>
            </w:r>
            <w:r>
              <w:rPr>
                <w:spacing w:val="2"/>
              </w:rPr>
              <w:t>格”,或出现连续2次“基本合格”仍未能有效</w:t>
            </w:r>
            <w:r>
              <w:rPr>
                <w:spacing w:val="1"/>
              </w:rPr>
              <w:t>整改的，视为考核结果“不合格”,</w:t>
            </w:r>
            <w:r>
              <w:t>采购人有权解除合同，中标人应赔偿采购人因解除合同而受到的</w:t>
            </w:r>
            <w:r>
              <w:rPr>
                <w:spacing w:val="-1"/>
              </w:rPr>
              <w:t>损失(即履约保证金</w:t>
            </w:r>
            <w:r>
              <w:t>不予退还，并退还剩余月数预付款)。出现其他违法违</w:t>
            </w:r>
            <w:r>
              <w:rPr>
                <w:spacing w:val="-1"/>
              </w:rPr>
              <w:t>规情形的，将上报相关部门处</w:t>
            </w:r>
            <w:r>
              <w:rPr>
                <w:spacing w:val="-2"/>
              </w:rPr>
              <w:t>理。</w:t>
            </w:r>
          </w:p>
        </w:tc>
      </w:tr>
    </w:tbl>
    <w:p w14:paraId="2AD496F0">
      <w:pPr>
        <w:keepNext w:val="0"/>
        <w:keepLines w:val="0"/>
        <w:pageBreakBefore w:val="0"/>
        <w:widowControl w:val="0"/>
        <w:kinsoku w:val="0"/>
        <w:wordWrap/>
        <w:overflowPunct/>
        <w:topLinePunct w:val="0"/>
        <w:autoSpaceDE w:val="0"/>
        <w:autoSpaceDN w:val="0"/>
        <w:bidi w:val="0"/>
        <w:adjustRightInd w:val="0"/>
        <w:snapToGrid w:val="0"/>
        <w:spacing w:line="472" w:lineRule="auto"/>
        <w:textAlignment w:val="baseline"/>
        <w:rPr>
          <w:rFonts w:ascii="Arial"/>
          <w:sz w:val="21"/>
        </w:rPr>
      </w:pPr>
    </w:p>
    <w:p w14:paraId="7E71E740">
      <w:pPr>
        <w:pStyle w:val="5"/>
        <w:keepNext w:val="0"/>
        <w:keepLines w:val="0"/>
        <w:pageBreakBefore w:val="0"/>
        <w:widowControl w:val="0"/>
        <w:kinsoku w:val="0"/>
        <w:wordWrap/>
        <w:overflowPunct/>
        <w:topLinePunct w:val="0"/>
        <w:autoSpaceDE w:val="0"/>
        <w:autoSpaceDN w:val="0"/>
        <w:bidi w:val="0"/>
        <w:adjustRightInd w:val="0"/>
        <w:snapToGrid w:val="0"/>
        <w:spacing w:before="55" w:line="236" w:lineRule="auto"/>
        <w:ind w:left="503"/>
        <w:textAlignment w:val="baseline"/>
        <w:rPr>
          <w:sz w:val="24"/>
          <w:szCs w:val="24"/>
        </w:rPr>
      </w:pPr>
      <w:r>
        <w:rPr>
          <w:spacing w:val="8"/>
          <w:sz w:val="24"/>
          <w:szCs w:val="24"/>
        </w:rPr>
        <w:t>汇总人：</w:t>
      </w:r>
      <w:r>
        <w:rPr>
          <w:rFonts w:hint="eastAsia"/>
          <w:spacing w:val="8"/>
          <w:sz w:val="24"/>
          <w:szCs w:val="24"/>
          <w:lang w:val="en-US" w:eastAsia="zh-CN"/>
        </w:rPr>
        <w:t xml:space="preserve">                               </w:t>
      </w:r>
      <w:r>
        <w:rPr>
          <w:spacing w:val="8"/>
          <w:sz w:val="24"/>
          <w:szCs w:val="24"/>
        </w:rPr>
        <w:t>审核人：</w:t>
      </w:r>
    </w:p>
    <w:p w14:paraId="57823A84">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4"/>
          <w:szCs w:val="24"/>
        </w:rPr>
      </w:pPr>
    </w:p>
    <w:p w14:paraId="6F42B5F5">
      <w:pPr>
        <w:pStyle w:val="5"/>
        <w:keepNext w:val="0"/>
        <w:keepLines w:val="0"/>
        <w:pageBreakBefore w:val="0"/>
        <w:widowControl w:val="0"/>
        <w:kinsoku w:val="0"/>
        <w:wordWrap/>
        <w:overflowPunct/>
        <w:topLinePunct w:val="0"/>
        <w:autoSpaceDE w:val="0"/>
        <w:autoSpaceDN w:val="0"/>
        <w:bidi w:val="0"/>
        <w:adjustRightInd w:val="0"/>
        <w:snapToGrid w:val="0"/>
        <w:spacing w:before="55" w:line="234" w:lineRule="auto"/>
        <w:ind w:firstLine="404" w:firstLineChars="200"/>
        <w:textAlignment w:val="baseline"/>
        <w:rPr>
          <w:sz w:val="24"/>
          <w:szCs w:val="24"/>
        </w:rPr>
        <w:sectPr>
          <w:pgSz w:w="11910" w:h="16840"/>
          <w:pgMar w:top="1431" w:right="1786" w:bottom="0" w:left="1786" w:header="0" w:footer="0" w:gutter="0"/>
          <w:cols w:space="720" w:num="1"/>
        </w:sectPr>
      </w:pPr>
      <w:r>
        <w:rPr>
          <w:spacing w:val="-19"/>
          <w:sz w:val="24"/>
          <w:szCs w:val="24"/>
        </w:rPr>
        <w:t>汇总时间：</w:t>
      </w:r>
      <w:r>
        <w:rPr>
          <w:rFonts w:hint="eastAsia"/>
          <w:spacing w:val="-19"/>
          <w:sz w:val="24"/>
          <w:szCs w:val="24"/>
          <w:lang w:val="en-US" w:eastAsia="zh-CN"/>
        </w:rPr>
        <w:t xml:space="preserve">     </w:t>
      </w:r>
      <w:r>
        <w:rPr>
          <w:spacing w:val="-19"/>
          <w:sz w:val="24"/>
          <w:szCs w:val="24"/>
        </w:rPr>
        <w:t>年</w:t>
      </w:r>
      <w:r>
        <w:rPr>
          <w:rFonts w:hint="eastAsia"/>
          <w:spacing w:val="-19"/>
          <w:sz w:val="24"/>
          <w:szCs w:val="24"/>
          <w:lang w:val="en-US" w:eastAsia="zh-CN"/>
        </w:rPr>
        <w:t xml:space="preserve">    </w:t>
      </w:r>
      <w:r>
        <w:rPr>
          <w:spacing w:val="-19"/>
          <w:sz w:val="24"/>
          <w:szCs w:val="24"/>
        </w:rPr>
        <w:t>月</w:t>
      </w:r>
      <w:r>
        <w:rPr>
          <w:rFonts w:hint="eastAsia"/>
          <w:spacing w:val="-19"/>
          <w:sz w:val="24"/>
          <w:szCs w:val="24"/>
          <w:lang w:val="en-US" w:eastAsia="zh-CN"/>
        </w:rPr>
        <w:t xml:space="preserve">    </w:t>
      </w:r>
      <w:r>
        <w:rPr>
          <w:spacing w:val="-19"/>
          <w:sz w:val="24"/>
          <w:szCs w:val="24"/>
        </w:rPr>
        <w:t>日</w:t>
      </w:r>
    </w:p>
    <w:p w14:paraId="76F55DE8">
      <w:pPr>
        <w:keepNext w:val="0"/>
        <w:keepLines w:val="0"/>
        <w:pageBreakBefore w:val="0"/>
        <w:widowControl w:val="0"/>
        <w:kinsoku w:val="0"/>
        <w:wordWrap/>
        <w:overflowPunct/>
        <w:topLinePunct w:val="0"/>
        <w:autoSpaceDE w:val="0"/>
        <w:autoSpaceDN w:val="0"/>
        <w:bidi w:val="0"/>
        <w:adjustRightInd w:val="0"/>
        <w:snapToGrid w:val="0"/>
        <w:spacing w:line="279" w:lineRule="auto"/>
        <w:textAlignment w:val="baseline"/>
        <w:rPr>
          <w:rFonts w:ascii="Arial"/>
          <w:sz w:val="21"/>
        </w:rPr>
      </w:pPr>
    </w:p>
    <w:p w14:paraId="443AA8A7">
      <w:pPr>
        <w:keepNext w:val="0"/>
        <w:keepLines w:val="0"/>
        <w:pageBreakBefore w:val="0"/>
        <w:widowControl w:val="0"/>
        <w:kinsoku w:val="0"/>
        <w:wordWrap/>
        <w:overflowPunct/>
        <w:topLinePunct w:val="0"/>
        <w:autoSpaceDE w:val="0"/>
        <w:autoSpaceDN w:val="0"/>
        <w:bidi w:val="0"/>
        <w:adjustRightInd w:val="0"/>
        <w:snapToGrid w:val="0"/>
        <w:spacing w:line="279" w:lineRule="auto"/>
        <w:textAlignment w:val="baseline"/>
        <w:rPr>
          <w:rFonts w:ascii="Arial"/>
          <w:sz w:val="21"/>
        </w:rPr>
      </w:pPr>
    </w:p>
    <w:p w14:paraId="06EC3DE1">
      <w:pPr>
        <w:keepNext w:val="0"/>
        <w:keepLines w:val="0"/>
        <w:pageBreakBefore w:val="0"/>
        <w:widowControl w:val="0"/>
        <w:kinsoku w:val="0"/>
        <w:wordWrap/>
        <w:overflowPunct/>
        <w:topLinePunct w:val="0"/>
        <w:autoSpaceDE w:val="0"/>
        <w:autoSpaceDN w:val="0"/>
        <w:bidi w:val="0"/>
        <w:adjustRightInd w:val="0"/>
        <w:snapToGrid w:val="0"/>
        <w:spacing w:line="279" w:lineRule="auto"/>
        <w:textAlignment w:val="baseline"/>
        <w:rPr>
          <w:rFonts w:ascii="Arial"/>
          <w:sz w:val="21"/>
        </w:rPr>
      </w:pPr>
    </w:p>
    <w:p w14:paraId="39164E74">
      <w:pPr>
        <w:pStyle w:val="5"/>
        <w:keepNext w:val="0"/>
        <w:keepLines w:val="0"/>
        <w:pageBreakBefore w:val="0"/>
        <w:widowControl w:val="0"/>
        <w:kinsoku w:val="0"/>
        <w:wordWrap/>
        <w:overflowPunct/>
        <w:topLinePunct w:val="0"/>
        <w:autoSpaceDE w:val="0"/>
        <w:autoSpaceDN w:val="0"/>
        <w:bidi w:val="0"/>
        <w:adjustRightInd w:val="0"/>
        <w:snapToGrid w:val="0"/>
        <w:spacing w:before="78" w:line="361" w:lineRule="auto"/>
        <w:ind w:right="484"/>
        <w:jc w:val="center"/>
        <w:textAlignment w:val="baseline"/>
        <w:rPr>
          <w:b/>
          <w:bCs/>
          <w:spacing w:val="-2"/>
          <w:sz w:val="28"/>
          <w:szCs w:val="28"/>
        </w:rPr>
      </w:pPr>
      <w:r>
        <w:rPr>
          <w:b/>
          <w:bCs/>
          <w:spacing w:val="-2"/>
          <w:sz w:val="28"/>
          <w:szCs w:val="28"/>
        </w:rPr>
        <w:t>表四：广东省粤东技师学院梅州校区</w:t>
      </w:r>
    </w:p>
    <w:p w14:paraId="66C788E6">
      <w:pPr>
        <w:pStyle w:val="5"/>
        <w:keepNext w:val="0"/>
        <w:keepLines w:val="0"/>
        <w:pageBreakBefore w:val="0"/>
        <w:widowControl w:val="0"/>
        <w:kinsoku w:val="0"/>
        <w:wordWrap/>
        <w:overflowPunct/>
        <w:topLinePunct w:val="0"/>
        <w:autoSpaceDE w:val="0"/>
        <w:autoSpaceDN w:val="0"/>
        <w:bidi w:val="0"/>
        <w:adjustRightInd w:val="0"/>
        <w:snapToGrid w:val="0"/>
        <w:spacing w:before="78" w:line="361" w:lineRule="auto"/>
        <w:ind w:right="484"/>
        <w:jc w:val="center"/>
        <w:textAlignment w:val="baseline"/>
        <w:rPr>
          <w:sz w:val="28"/>
          <w:szCs w:val="28"/>
        </w:rPr>
      </w:pPr>
      <w:r>
        <w:rPr>
          <w:b/>
          <w:bCs/>
          <w:spacing w:val="-2"/>
          <w:sz w:val="28"/>
          <w:szCs w:val="28"/>
        </w:rPr>
        <w:t>物业管理服务监督管理日常</w:t>
      </w:r>
      <w:r>
        <w:rPr>
          <w:b/>
          <w:bCs/>
          <w:spacing w:val="-6"/>
          <w:sz w:val="28"/>
          <w:szCs w:val="28"/>
        </w:rPr>
        <w:t>考核记录表</w:t>
      </w:r>
    </w:p>
    <w:tbl>
      <w:tblPr>
        <w:tblStyle w:val="21"/>
        <w:tblW w:w="8844" w:type="dxa"/>
        <w:tblInd w:w="5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701"/>
        <w:gridCol w:w="1655"/>
        <w:gridCol w:w="1178"/>
        <w:gridCol w:w="1422"/>
        <w:gridCol w:w="1267"/>
        <w:gridCol w:w="917"/>
      </w:tblGrid>
      <w:tr w14:paraId="333A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704" w:type="dxa"/>
            <w:textDirection w:val="tbRlV"/>
            <w:vAlign w:val="center"/>
          </w:tcPr>
          <w:p w14:paraId="19494D73">
            <w:pPr>
              <w:pStyle w:val="20"/>
              <w:keepNext w:val="0"/>
              <w:keepLines w:val="0"/>
              <w:pageBreakBefore w:val="0"/>
              <w:widowControl w:val="0"/>
              <w:kinsoku w:val="0"/>
              <w:wordWrap/>
              <w:overflowPunct/>
              <w:topLinePunct w:val="0"/>
              <w:autoSpaceDE w:val="0"/>
              <w:autoSpaceDN w:val="0"/>
              <w:bidi w:val="0"/>
              <w:adjustRightInd w:val="0"/>
              <w:snapToGrid w:val="0"/>
              <w:spacing w:before="221" w:line="199" w:lineRule="auto"/>
              <w:ind w:left="9"/>
              <w:jc w:val="center"/>
              <w:textAlignment w:val="baseline"/>
            </w:pPr>
            <w:r>
              <w:t>序号</w:t>
            </w:r>
          </w:p>
        </w:tc>
        <w:tc>
          <w:tcPr>
            <w:tcW w:w="1701" w:type="dxa"/>
            <w:vAlign w:val="center"/>
          </w:tcPr>
          <w:p w14:paraId="278D0533">
            <w:pPr>
              <w:pStyle w:val="20"/>
              <w:keepNext w:val="0"/>
              <w:keepLines w:val="0"/>
              <w:pageBreakBefore w:val="0"/>
              <w:widowControl w:val="0"/>
              <w:kinsoku w:val="0"/>
              <w:wordWrap/>
              <w:overflowPunct/>
              <w:topLinePunct w:val="0"/>
              <w:autoSpaceDE w:val="0"/>
              <w:autoSpaceDN w:val="0"/>
              <w:bidi w:val="0"/>
              <w:adjustRightInd w:val="0"/>
              <w:snapToGrid w:val="0"/>
              <w:spacing w:before="178" w:line="219" w:lineRule="auto"/>
              <w:ind w:left="331"/>
              <w:jc w:val="both"/>
              <w:textAlignment w:val="baseline"/>
            </w:pPr>
            <w:r>
              <w:rPr>
                <w:spacing w:val="10"/>
              </w:rPr>
              <w:t>考核项目</w:t>
            </w:r>
          </w:p>
        </w:tc>
        <w:tc>
          <w:tcPr>
            <w:tcW w:w="1655" w:type="dxa"/>
            <w:vAlign w:val="center"/>
          </w:tcPr>
          <w:p w14:paraId="0DEA5BF1">
            <w:pPr>
              <w:pStyle w:val="20"/>
              <w:keepNext w:val="0"/>
              <w:keepLines w:val="0"/>
              <w:pageBreakBefore w:val="0"/>
              <w:widowControl w:val="0"/>
              <w:kinsoku w:val="0"/>
              <w:wordWrap/>
              <w:overflowPunct/>
              <w:topLinePunct w:val="0"/>
              <w:autoSpaceDE w:val="0"/>
              <w:autoSpaceDN w:val="0"/>
              <w:bidi w:val="0"/>
              <w:adjustRightInd w:val="0"/>
              <w:snapToGrid w:val="0"/>
              <w:spacing w:before="178" w:line="219" w:lineRule="auto"/>
              <w:jc w:val="center"/>
              <w:textAlignment w:val="baseline"/>
            </w:pPr>
            <w:r>
              <w:rPr>
                <w:spacing w:val="-2"/>
              </w:rPr>
              <w:t>检查情况</w:t>
            </w:r>
          </w:p>
        </w:tc>
        <w:tc>
          <w:tcPr>
            <w:tcW w:w="1178" w:type="dxa"/>
            <w:vAlign w:val="center"/>
          </w:tcPr>
          <w:p w14:paraId="30D6012F">
            <w:pPr>
              <w:pStyle w:val="20"/>
              <w:keepNext w:val="0"/>
              <w:keepLines w:val="0"/>
              <w:pageBreakBefore w:val="0"/>
              <w:widowControl w:val="0"/>
              <w:kinsoku w:val="0"/>
              <w:wordWrap/>
              <w:overflowPunct/>
              <w:topLinePunct w:val="0"/>
              <w:autoSpaceDE w:val="0"/>
              <w:autoSpaceDN w:val="0"/>
              <w:bidi w:val="0"/>
              <w:adjustRightInd w:val="0"/>
              <w:snapToGrid w:val="0"/>
              <w:spacing w:before="30" w:line="228" w:lineRule="auto"/>
              <w:ind w:left="104" w:hanging="89"/>
              <w:jc w:val="center"/>
              <w:textAlignment w:val="baseline"/>
            </w:pPr>
            <w:r>
              <w:rPr>
                <w:spacing w:val="-4"/>
              </w:rPr>
              <w:t>物业岗位责</w:t>
            </w:r>
            <w:r>
              <w:rPr>
                <w:spacing w:val="5"/>
              </w:rPr>
              <w:t>任人签名</w:t>
            </w:r>
          </w:p>
        </w:tc>
        <w:tc>
          <w:tcPr>
            <w:tcW w:w="1422" w:type="dxa"/>
            <w:vAlign w:val="center"/>
          </w:tcPr>
          <w:p w14:paraId="312B57E7">
            <w:pPr>
              <w:pStyle w:val="20"/>
              <w:keepNext w:val="0"/>
              <w:keepLines w:val="0"/>
              <w:pageBreakBefore w:val="0"/>
              <w:widowControl w:val="0"/>
              <w:kinsoku w:val="0"/>
              <w:wordWrap/>
              <w:overflowPunct/>
              <w:topLinePunct w:val="0"/>
              <w:autoSpaceDE w:val="0"/>
              <w:autoSpaceDN w:val="0"/>
              <w:bidi w:val="0"/>
              <w:adjustRightInd w:val="0"/>
              <w:snapToGrid w:val="0"/>
              <w:spacing w:before="178" w:line="219" w:lineRule="auto"/>
              <w:ind w:left="246"/>
              <w:jc w:val="center"/>
              <w:textAlignment w:val="baseline"/>
            </w:pPr>
            <w:r>
              <w:rPr>
                <w:spacing w:val="-2"/>
              </w:rPr>
              <w:t>整改情况</w:t>
            </w:r>
          </w:p>
        </w:tc>
        <w:tc>
          <w:tcPr>
            <w:tcW w:w="1267" w:type="dxa"/>
            <w:vAlign w:val="center"/>
          </w:tcPr>
          <w:p w14:paraId="2C82FD94">
            <w:pPr>
              <w:pStyle w:val="20"/>
              <w:keepNext w:val="0"/>
              <w:keepLines w:val="0"/>
              <w:pageBreakBefore w:val="0"/>
              <w:widowControl w:val="0"/>
              <w:kinsoku w:val="0"/>
              <w:wordWrap/>
              <w:overflowPunct/>
              <w:topLinePunct w:val="0"/>
              <w:autoSpaceDE w:val="0"/>
              <w:autoSpaceDN w:val="0"/>
              <w:bidi w:val="0"/>
              <w:adjustRightInd w:val="0"/>
              <w:snapToGrid w:val="0"/>
              <w:spacing w:before="39" w:line="224" w:lineRule="auto"/>
              <w:ind w:left="38" w:right="13"/>
              <w:jc w:val="center"/>
              <w:textAlignment w:val="baseline"/>
            </w:pPr>
            <w:r>
              <w:rPr>
                <w:spacing w:val="-2"/>
              </w:rPr>
              <w:t>整改落实跟</w:t>
            </w:r>
            <w:r>
              <w:rPr>
                <w:spacing w:val="5"/>
              </w:rPr>
              <w:t>进人员签名</w:t>
            </w:r>
          </w:p>
        </w:tc>
        <w:tc>
          <w:tcPr>
            <w:tcW w:w="917" w:type="dxa"/>
            <w:textDirection w:val="tbRlV"/>
            <w:vAlign w:val="center"/>
          </w:tcPr>
          <w:p w14:paraId="75E3E8DB">
            <w:pPr>
              <w:pStyle w:val="20"/>
              <w:keepNext w:val="0"/>
              <w:keepLines w:val="0"/>
              <w:pageBreakBefore w:val="0"/>
              <w:widowControl w:val="0"/>
              <w:kinsoku w:val="0"/>
              <w:wordWrap/>
              <w:overflowPunct/>
              <w:topLinePunct w:val="0"/>
              <w:autoSpaceDE w:val="0"/>
              <w:autoSpaceDN w:val="0"/>
              <w:bidi w:val="0"/>
              <w:adjustRightInd w:val="0"/>
              <w:snapToGrid w:val="0"/>
              <w:spacing w:before="124" w:line="201" w:lineRule="auto"/>
              <w:jc w:val="center"/>
              <w:textAlignment w:val="baseline"/>
            </w:pPr>
            <w:r>
              <w:rPr>
                <w:spacing w:val="-8"/>
              </w:rPr>
              <w:t>备注</w:t>
            </w:r>
          </w:p>
        </w:tc>
      </w:tr>
      <w:tr w14:paraId="75CE3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0" w:hRule="atLeast"/>
        </w:trPr>
        <w:tc>
          <w:tcPr>
            <w:tcW w:w="704" w:type="dxa"/>
            <w:vAlign w:val="top"/>
          </w:tcPr>
          <w:p w14:paraId="7E842DB3">
            <w:pPr>
              <w:keepNext w:val="0"/>
              <w:keepLines w:val="0"/>
              <w:pageBreakBefore w:val="0"/>
              <w:widowControl w:val="0"/>
              <w:kinsoku w:val="0"/>
              <w:wordWrap/>
              <w:overflowPunct/>
              <w:topLinePunct w:val="0"/>
              <w:autoSpaceDE w:val="0"/>
              <w:autoSpaceDN w:val="0"/>
              <w:bidi w:val="0"/>
              <w:adjustRightInd w:val="0"/>
              <w:snapToGrid w:val="0"/>
              <w:spacing w:line="287" w:lineRule="auto"/>
              <w:jc w:val="center"/>
              <w:textAlignment w:val="baseline"/>
              <w:rPr>
                <w:rFonts w:ascii="Arial"/>
                <w:sz w:val="21"/>
              </w:rPr>
            </w:pPr>
          </w:p>
          <w:p w14:paraId="1ABF458E">
            <w:pPr>
              <w:keepNext w:val="0"/>
              <w:keepLines w:val="0"/>
              <w:pageBreakBefore w:val="0"/>
              <w:widowControl w:val="0"/>
              <w:kinsoku w:val="0"/>
              <w:wordWrap/>
              <w:overflowPunct/>
              <w:topLinePunct w:val="0"/>
              <w:autoSpaceDE w:val="0"/>
              <w:autoSpaceDN w:val="0"/>
              <w:bidi w:val="0"/>
              <w:adjustRightInd w:val="0"/>
              <w:snapToGrid w:val="0"/>
              <w:spacing w:line="287" w:lineRule="auto"/>
              <w:jc w:val="center"/>
              <w:textAlignment w:val="baseline"/>
              <w:rPr>
                <w:rFonts w:ascii="Arial"/>
                <w:sz w:val="21"/>
              </w:rPr>
            </w:pPr>
          </w:p>
          <w:p w14:paraId="0975ECCB">
            <w:pPr>
              <w:keepNext w:val="0"/>
              <w:keepLines w:val="0"/>
              <w:pageBreakBefore w:val="0"/>
              <w:widowControl w:val="0"/>
              <w:kinsoku w:val="0"/>
              <w:wordWrap/>
              <w:overflowPunct/>
              <w:topLinePunct w:val="0"/>
              <w:autoSpaceDE w:val="0"/>
              <w:autoSpaceDN w:val="0"/>
              <w:bidi w:val="0"/>
              <w:adjustRightInd w:val="0"/>
              <w:snapToGrid w:val="0"/>
              <w:spacing w:line="287" w:lineRule="auto"/>
              <w:jc w:val="center"/>
              <w:textAlignment w:val="baseline"/>
              <w:rPr>
                <w:rFonts w:ascii="Arial"/>
                <w:sz w:val="21"/>
              </w:rPr>
            </w:pPr>
          </w:p>
          <w:p w14:paraId="79EAA485">
            <w:pPr>
              <w:keepNext w:val="0"/>
              <w:keepLines w:val="0"/>
              <w:pageBreakBefore w:val="0"/>
              <w:widowControl w:val="0"/>
              <w:kinsoku w:val="0"/>
              <w:wordWrap/>
              <w:overflowPunct/>
              <w:topLinePunct w:val="0"/>
              <w:autoSpaceDE w:val="0"/>
              <w:autoSpaceDN w:val="0"/>
              <w:bidi w:val="0"/>
              <w:adjustRightInd w:val="0"/>
              <w:snapToGrid w:val="0"/>
              <w:spacing w:line="287" w:lineRule="auto"/>
              <w:jc w:val="center"/>
              <w:textAlignment w:val="baseline"/>
              <w:rPr>
                <w:rFonts w:ascii="Arial"/>
                <w:sz w:val="21"/>
              </w:rPr>
            </w:pPr>
          </w:p>
          <w:p w14:paraId="636848C9">
            <w:pPr>
              <w:keepNext w:val="0"/>
              <w:keepLines w:val="0"/>
              <w:pageBreakBefore w:val="0"/>
              <w:widowControl w:val="0"/>
              <w:kinsoku w:val="0"/>
              <w:wordWrap/>
              <w:overflowPunct/>
              <w:topLinePunct w:val="0"/>
              <w:autoSpaceDE w:val="0"/>
              <w:autoSpaceDN w:val="0"/>
              <w:bidi w:val="0"/>
              <w:adjustRightInd w:val="0"/>
              <w:snapToGrid w:val="0"/>
              <w:spacing w:line="287" w:lineRule="auto"/>
              <w:jc w:val="center"/>
              <w:textAlignment w:val="baseline"/>
              <w:rPr>
                <w:rFonts w:ascii="Arial"/>
                <w:sz w:val="21"/>
              </w:rPr>
            </w:pPr>
          </w:p>
          <w:p w14:paraId="5BD6F4BE">
            <w:pPr>
              <w:pStyle w:val="20"/>
              <w:keepNext w:val="0"/>
              <w:keepLines w:val="0"/>
              <w:pageBreakBefore w:val="0"/>
              <w:widowControl w:val="0"/>
              <w:kinsoku w:val="0"/>
              <w:wordWrap/>
              <w:overflowPunct/>
              <w:topLinePunct w:val="0"/>
              <w:autoSpaceDE w:val="0"/>
              <w:autoSpaceDN w:val="0"/>
              <w:bidi w:val="0"/>
              <w:adjustRightInd w:val="0"/>
              <w:snapToGrid w:val="0"/>
              <w:spacing w:before="68" w:line="184" w:lineRule="auto"/>
              <w:ind w:left="254"/>
              <w:jc w:val="center"/>
              <w:textAlignment w:val="baseline"/>
            </w:pPr>
            <w:r>
              <w:t>1</w:t>
            </w:r>
          </w:p>
        </w:tc>
        <w:tc>
          <w:tcPr>
            <w:tcW w:w="1701" w:type="dxa"/>
            <w:vAlign w:val="top"/>
          </w:tcPr>
          <w:p w14:paraId="3B0E5539">
            <w:pPr>
              <w:keepNext w:val="0"/>
              <w:keepLines w:val="0"/>
              <w:pageBreakBefore w:val="0"/>
              <w:widowControl w:val="0"/>
              <w:kinsoku w:val="0"/>
              <w:wordWrap/>
              <w:overflowPunct/>
              <w:topLinePunct w:val="0"/>
              <w:autoSpaceDE w:val="0"/>
              <w:autoSpaceDN w:val="0"/>
              <w:bidi w:val="0"/>
              <w:adjustRightInd w:val="0"/>
              <w:snapToGrid w:val="0"/>
              <w:spacing w:line="276" w:lineRule="auto"/>
              <w:jc w:val="center"/>
              <w:textAlignment w:val="baseline"/>
              <w:rPr>
                <w:rFonts w:ascii="Arial"/>
                <w:sz w:val="21"/>
              </w:rPr>
            </w:pPr>
          </w:p>
          <w:p w14:paraId="791959A3">
            <w:pPr>
              <w:keepNext w:val="0"/>
              <w:keepLines w:val="0"/>
              <w:pageBreakBefore w:val="0"/>
              <w:widowControl w:val="0"/>
              <w:kinsoku w:val="0"/>
              <w:wordWrap/>
              <w:overflowPunct/>
              <w:topLinePunct w:val="0"/>
              <w:autoSpaceDE w:val="0"/>
              <w:autoSpaceDN w:val="0"/>
              <w:bidi w:val="0"/>
              <w:adjustRightInd w:val="0"/>
              <w:snapToGrid w:val="0"/>
              <w:spacing w:line="276" w:lineRule="auto"/>
              <w:jc w:val="center"/>
              <w:textAlignment w:val="baseline"/>
              <w:rPr>
                <w:rFonts w:ascii="Arial"/>
                <w:sz w:val="21"/>
              </w:rPr>
            </w:pPr>
          </w:p>
          <w:p w14:paraId="01CD262D">
            <w:pPr>
              <w:keepNext w:val="0"/>
              <w:keepLines w:val="0"/>
              <w:pageBreakBefore w:val="0"/>
              <w:widowControl w:val="0"/>
              <w:kinsoku w:val="0"/>
              <w:wordWrap/>
              <w:overflowPunct/>
              <w:topLinePunct w:val="0"/>
              <w:autoSpaceDE w:val="0"/>
              <w:autoSpaceDN w:val="0"/>
              <w:bidi w:val="0"/>
              <w:adjustRightInd w:val="0"/>
              <w:snapToGrid w:val="0"/>
              <w:spacing w:line="277" w:lineRule="auto"/>
              <w:jc w:val="center"/>
              <w:textAlignment w:val="baseline"/>
              <w:rPr>
                <w:rFonts w:ascii="Arial"/>
                <w:sz w:val="21"/>
              </w:rPr>
            </w:pPr>
          </w:p>
          <w:p w14:paraId="295AB9EB">
            <w:pPr>
              <w:keepNext w:val="0"/>
              <w:keepLines w:val="0"/>
              <w:pageBreakBefore w:val="0"/>
              <w:widowControl w:val="0"/>
              <w:kinsoku w:val="0"/>
              <w:wordWrap/>
              <w:overflowPunct/>
              <w:topLinePunct w:val="0"/>
              <w:autoSpaceDE w:val="0"/>
              <w:autoSpaceDN w:val="0"/>
              <w:bidi w:val="0"/>
              <w:adjustRightInd w:val="0"/>
              <w:snapToGrid w:val="0"/>
              <w:spacing w:line="277" w:lineRule="auto"/>
              <w:jc w:val="center"/>
              <w:textAlignment w:val="baseline"/>
              <w:rPr>
                <w:rFonts w:ascii="Arial"/>
                <w:sz w:val="21"/>
              </w:rPr>
            </w:pPr>
          </w:p>
          <w:p w14:paraId="36DD30B0">
            <w:pPr>
              <w:keepNext w:val="0"/>
              <w:keepLines w:val="0"/>
              <w:pageBreakBefore w:val="0"/>
              <w:widowControl w:val="0"/>
              <w:kinsoku w:val="0"/>
              <w:wordWrap/>
              <w:overflowPunct/>
              <w:topLinePunct w:val="0"/>
              <w:autoSpaceDE w:val="0"/>
              <w:autoSpaceDN w:val="0"/>
              <w:bidi w:val="0"/>
              <w:adjustRightInd w:val="0"/>
              <w:snapToGrid w:val="0"/>
              <w:spacing w:line="277" w:lineRule="auto"/>
              <w:jc w:val="center"/>
              <w:textAlignment w:val="baseline"/>
              <w:rPr>
                <w:rFonts w:ascii="Arial"/>
                <w:sz w:val="21"/>
              </w:rPr>
            </w:pPr>
          </w:p>
          <w:p w14:paraId="1C927C52">
            <w:pPr>
              <w:pStyle w:val="20"/>
              <w:keepNext w:val="0"/>
              <w:keepLines w:val="0"/>
              <w:pageBreakBefore w:val="0"/>
              <w:widowControl w:val="0"/>
              <w:kinsoku w:val="0"/>
              <w:wordWrap/>
              <w:overflowPunct/>
              <w:topLinePunct w:val="0"/>
              <w:autoSpaceDE w:val="0"/>
              <w:autoSpaceDN w:val="0"/>
              <w:bidi w:val="0"/>
              <w:adjustRightInd w:val="0"/>
              <w:snapToGrid w:val="0"/>
              <w:spacing w:before="68" w:line="219" w:lineRule="auto"/>
              <w:ind w:left="120"/>
              <w:jc w:val="center"/>
              <w:textAlignment w:val="baseline"/>
            </w:pPr>
            <w:r>
              <w:rPr>
                <w:spacing w:val="-2"/>
              </w:rPr>
              <w:t>卫生保洁管理</w:t>
            </w:r>
          </w:p>
        </w:tc>
        <w:tc>
          <w:tcPr>
            <w:tcW w:w="1655" w:type="dxa"/>
            <w:vAlign w:val="top"/>
          </w:tcPr>
          <w:p w14:paraId="0972995B">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178" w:type="dxa"/>
            <w:vAlign w:val="top"/>
          </w:tcPr>
          <w:p w14:paraId="4DBA28EC">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422" w:type="dxa"/>
            <w:vAlign w:val="top"/>
          </w:tcPr>
          <w:p w14:paraId="2286F0B4">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267" w:type="dxa"/>
            <w:vAlign w:val="top"/>
          </w:tcPr>
          <w:p w14:paraId="62CF135E">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917" w:type="dxa"/>
            <w:vAlign w:val="top"/>
          </w:tcPr>
          <w:p w14:paraId="6E8C9A25">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r>
      <w:tr w14:paraId="0788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704" w:type="dxa"/>
            <w:vAlign w:val="top"/>
          </w:tcPr>
          <w:p w14:paraId="16EF2925">
            <w:pPr>
              <w:keepNext w:val="0"/>
              <w:keepLines w:val="0"/>
              <w:pageBreakBefore w:val="0"/>
              <w:widowControl w:val="0"/>
              <w:kinsoku w:val="0"/>
              <w:wordWrap/>
              <w:overflowPunct/>
              <w:topLinePunct w:val="0"/>
              <w:autoSpaceDE w:val="0"/>
              <w:autoSpaceDN w:val="0"/>
              <w:bidi w:val="0"/>
              <w:adjustRightInd w:val="0"/>
              <w:snapToGrid w:val="0"/>
              <w:spacing w:line="245" w:lineRule="auto"/>
              <w:jc w:val="center"/>
              <w:textAlignment w:val="baseline"/>
              <w:rPr>
                <w:rFonts w:ascii="Arial"/>
                <w:sz w:val="21"/>
              </w:rPr>
            </w:pPr>
          </w:p>
          <w:p w14:paraId="2E7B6FA9">
            <w:pPr>
              <w:keepNext w:val="0"/>
              <w:keepLines w:val="0"/>
              <w:pageBreakBefore w:val="0"/>
              <w:widowControl w:val="0"/>
              <w:kinsoku w:val="0"/>
              <w:wordWrap/>
              <w:overflowPunct/>
              <w:topLinePunct w:val="0"/>
              <w:autoSpaceDE w:val="0"/>
              <w:autoSpaceDN w:val="0"/>
              <w:bidi w:val="0"/>
              <w:adjustRightInd w:val="0"/>
              <w:snapToGrid w:val="0"/>
              <w:spacing w:line="245" w:lineRule="auto"/>
              <w:jc w:val="center"/>
              <w:textAlignment w:val="baseline"/>
              <w:rPr>
                <w:rFonts w:ascii="Arial"/>
                <w:sz w:val="21"/>
              </w:rPr>
            </w:pPr>
          </w:p>
          <w:p w14:paraId="6F0B58ED">
            <w:pPr>
              <w:keepNext w:val="0"/>
              <w:keepLines w:val="0"/>
              <w:pageBreakBefore w:val="0"/>
              <w:widowControl w:val="0"/>
              <w:kinsoku w:val="0"/>
              <w:wordWrap/>
              <w:overflowPunct/>
              <w:topLinePunct w:val="0"/>
              <w:autoSpaceDE w:val="0"/>
              <w:autoSpaceDN w:val="0"/>
              <w:bidi w:val="0"/>
              <w:adjustRightInd w:val="0"/>
              <w:snapToGrid w:val="0"/>
              <w:spacing w:line="246" w:lineRule="auto"/>
              <w:jc w:val="center"/>
              <w:textAlignment w:val="baseline"/>
              <w:rPr>
                <w:rFonts w:ascii="Arial"/>
                <w:sz w:val="21"/>
              </w:rPr>
            </w:pPr>
          </w:p>
          <w:p w14:paraId="6F0F5D5F">
            <w:pPr>
              <w:keepNext w:val="0"/>
              <w:keepLines w:val="0"/>
              <w:pageBreakBefore w:val="0"/>
              <w:widowControl w:val="0"/>
              <w:kinsoku w:val="0"/>
              <w:wordWrap/>
              <w:overflowPunct/>
              <w:topLinePunct w:val="0"/>
              <w:autoSpaceDE w:val="0"/>
              <w:autoSpaceDN w:val="0"/>
              <w:bidi w:val="0"/>
              <w:adjustRightInd w:val="0"/>
              <w:snapToGrid w:val="0"/>
              <w:spacing w:line="246" w:lineRule="auto"/>
              <w:jc w:val="center"/>
              <w:textAlignment w:val="baseline"/>
              <w:rPr>
                <w:rFonts w:ascii="Arial"/>
                <w:sz w:val="21"/>
              </w:rPr>
            </w:pPr>
          </w:p>
          <w:p w14:paraId="0C8D463B">
            <w:pPr>
              <w:pStyle w:val="20"/>
              <w:keepNext w:val="0"/>
              <w:keepLines w:val="0"/>
              <w:pageBreakBefore w:val="0"/>
              <w:widowControl w:val="0"/>
              <w:kinsoku w:val="0"/>
              <w:wordWrap/>
              <w:overflowPunct/>
              <w:topLinePunct w:val="0"/>
              <w:autoSpaceDE w:val="0"/>
              <w:autoSpaceDN w:val="0"/>
              <w:bidi w:val="0"/>
              <w:adjustRightInd w:val="0"/>
              <w:snapToGrid w:val="0"/>
              <w:spacing w:before="68" w:line="183" w:lineRule="auto"/>
              <w:ind w:left="254"/>
              <w:jc w:val="center"/>
              <w:textAlignment w:val="baseline"/>
            </w:pPr>
            <w:r>
              <w:t>2</w:t>
            </w:r>
          </w:p>
        </w:tc>
        <w:tc>
          <w:tcPr>
            <w:tcW w:w="1701" w:type="dxa"/>
            <w:vAlign w:val="top"/>
          </w:tcPr>
          <w:p w14:paraId="1E29D853">
            <w:pPr>
              <w:keepNext w:val="0"/>
              <w:keepLines w:val="0"/>
              <w:pageBreakBefore w:val="0"/>
              <w:widowControl w:val="0"/>
              <w:kinsoku w:val="0"/>
              <w:wordWrap/>
              <w:overflowPunct/>
              <w:topLinePunct w:val="0"/>
              <w:autoSpaceDE w:val="0"/>
              <w:autoSpaceDN w:val="0"/>
              <w:bidi w:val="0"/>
              <w:adjustRightInd w:val="0"/>
              <w:snapToGrid w:val="0"/>
              <w:spacing w:line="309" w:lineRule="auto"/>
              <w:jc w:val="center"/>
              <w:textAlignment w:val="baseline"/>
              <w:rPr>
                <w:rFonts w:ascii="Arial"/>
                <w:sz w:val="21"/>
              </w:rPr>
            </w:pPr>
          </w:p>
          <w:p w14:paraId="1F7E60C9">
            <w:pPr>
              <w:keepNext w:val="0"/>
              <w:keepLines w:val="0"/>
              <w:pageBreakBefore w:val="0"/>
              <w:widowControl w:val="0"/>
              <w:kinsoku w:val="0"/>
              <w:wordWrap/>
              <w:overflowPunct/>
              <w:topLinePunct w:val="0"/>
              <w:autoSpaceDE w:val="0"/>
              <w:autoSpaceDN w:val="0"/>
              <w:bidi w:val="0"/>
              <w:adjustRightInd w:val="0"/>
              <w:snapToGrid w:val="0"/>
              <w:spacing w:line="309" w:lineRule="auto"/>
              <w:jc w:val="center"/>
              <w:textAlignment w:val="baseline"/>
              <w:rPr>
                <w:rFonts w:ascii="Arial"/>
                <w:sz w:val="21"/>
              </w:rPr>
            </w:pPr>
          </w:p>
          <w:p w14:paraId="5855DD4F">
            <w:pPr>
              <w:keepNext w:val="0"/>
              <w:keepLines w:val="0"/>
              <w:pageBreakBefore w:val="0"/>
              <w:widowControl w:val="0"/>
              <w:kinsoku w:val="0"/>
              <w:wordWrap/>
              <w:overflowPunct/>
              <w:topLinePunct w:val="0"/>
              <w:autoSpaceDE w:val="0"/>
              <w:autoSpaceDN w:val="0"/>
              <w:bidi w:val="0"/>
              <w:adjustRightInd w:val="0"/>
              <w:snapToGrid w:val="0"/>
              <w:spacing w:line="310" w:lineRule="auto"/>
              <w:jc w:val="center"/>
              <w:textAlignment w:val="baseline"/>
              <w:rPr>
                <w:rFonts w:ascii="Arial"/>
                <w:sz w:val="21"/>
              </w:rPr>
            </w:pPr>
          </w:p>
          <w:p w14:paraId="08655B25">
            <w:pPr>
              <w:pStyle w:val="20"/>
              <w:keepNext w:val="0"/>
              <w:keepLines w:val="0"/>
              <w:pageBreakBefore w:val="0"/>
              <w:widowControl w:val="0"/>
              <w:kinsoku w:val="0"/>
              <w:wordWrap/>
              <w:overflowPunct/>
              <w:topLinePunct w:val="0"/>
              <w:autoSpaceDE w:val="0"/>
              <w:autoSpaceDN w:val="0"/>
              <w:bidi w:val="0"/>
              <w:adjustRightInd w:val="0"/>
              <w:snapToGrid w:val="0"/>
              <w:spacing w:before="69" w:line="219" w:lineRule="auto"/>
              <w:ind w:left="120"/>
              <w:jc w:val="center"/>
              <w:textAlignment w:val="baseline"/>
            </w:pPr>
            <w:r>
              <w:rPr>
                <w:spacing w:val="-2"/>
              </w:rPr>
              <w:t>绿化养护管理</w:t>
            </w:r>
          </w:p>
        </w:tc>
        <w:tc>
          <w:tcPr>
            <w:tcW w:w="1655" w:type="dxa"/>
            <w:vAlign w:val="top"/>
          </w:tcPr>
          <w:p w14:paraId="056F9681">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178" w:type="dxa"/>
            <w:vAlign w:val="top"/>
          </w:tcPr>
          <w:p w14:paraId="3587CCF5">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422" w:type="dxa"/>
            <w:vAlign w:val="top"/>
          </w:tcPr>
          <w:p w14:paraId="017A4177">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267" w:type="dxa"/>
            <w:vAlign w:val="top"/>
          </w:tcPr>
          <w:p w14:paraId="5712A973">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917" w:type="dxa"/>
            <w:vAlign w:val="top"/>
          </w:tcPr>
          <w:p w14:paraId="77ED505B">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r>
      <w:tr w14:paraId="3580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704" w:type="dxa"/>
            <w:vAlign w:val="top"/>
          </w:tcPr>
          <w:p w14:paraId="375DA33A">
            <w:pPr>
              <w:keepNext w:val="0"/>
              <w:keepLines w:val="0"/>
              <w:pageBreakBefore w:val="0"/>
              <w:widowControl w:val="0"/>
              <w:kinsoku w:val="0"/>
              <w:wordWrap/>
              <w:overflowPunct/>
              <w:topLinePunct w:val="0"/>
              <w:autoSpaceDE w:val="0"/>
              <w:autoSpaceDN w:val="0"/>
              <w:bidi w:val="0"/>
              <w:adjustRightInd w:val="0"/>
              <w:snapToGrid w:val="0"/>
              <w:spacing w:line="243" w:lineRule="auto"/>
              <w:jc w:val="center"/>
              <w:textAlignment w:val="baseline"/>
              <w:rPr>
                <w:rFonts w:ascii="Arial"/>
                <w:sz w:val="21"/>
              </w:rPr>
            </w:pPr>
          </w:p>
          <w:p w14:paraId="15FB6D5A">
            <w:pPr>
              <w:keepNext w:val="0"/>
              <w:keepLines w:val="0"/>
              <w:pageBreakBefore w:val="0"/>
              <w:widowControl w:val="0"/>
              <w:kinsoku w:val="0"/>
              <w:wordWrap/>
              <w:overflowPunct/>
              <w:topLinePunct w:val="0"/>
              <w:autoSpaceDE w:val="0"/>
              <w:autoSpaceDN w:val="0"/>
              <w:bidi w:val="0"/>
              <w:adjustRightInd w:val="0"/>
              <w:snapToGrid w:val="0"/>
              <w:spacing w:line="243" w:lineRule="auto"/>
              <w:jc w:val="center"/>
              <w:textAlignment w:val="baseline"/>
              <w:rPr>
                <w:rFonts w:ascii="Arial"/>
                <w:sz w:val="21"/>
              </w:rPr>
            </w:pPr>
          </w:p>
          <w:p w14:paraId="5445F5B8">
            <w:pPr>
              <w:keepNext w:val="0"/>
              <w:keepLines w:val="0"/>
              <w:pageBreakBefore w:val="0"/>
              <w:widowControl w:val="0"/>
              <w:kinsoku w:val="0"/>
              <w:wordWrap/>
              <w:overflowPunct/>
              <w:topLinePunct w:val="0"/>
              <w:autoSpaceDE w:val="0"/>
              <w:autoSpaceDN w:val="0"/>
              <w:bidi w:val="0"/>
              <w:adjustRightInd w:val="0"/>
              <w:snapToGrid w:val="0"/>
              <w:spacing w:line="244" w:lineRule="auto"/>
              <w:jc w:val="center"/>
              <w:textAlignment w:val="baseline"/>
              <w:rPr>
                <w:rFonts w:ascii="Arial"/>
                <w:sz w:val="21"/>
              </w:rPr>
            </w:pPr>
          </w:p>
          <w:p w14:paraId="5B4B2367">
            <w:pPr>
              <w:keepNext w:val="0"/>
              <w:keepLines w:val="0"/>
              <w:pageBreakBefore w:val="0"/>
              <w:widowControl w:val="0"/>
              <w:kinsoku w:val="0"/>
              <w:wordWrap/>
              <w:overflowPunct/>
              <w:topLinePunct w:val="0"/>
              <w:autoSpaceDE w:val="0"/>
              <w:autoSpaceDN w:val="0"/>
              <w:bidi w:val="0"/>
              <w:adjustRightInd w:val="0"/>
              <w:snapToGrid w:val="0"/>
              <w:spacing w:line="244" w:lineRule="auto"/>
              <w:jc w:val="center"/>
              <w:textAlignment w:val="baseline"/>
              <w:rPr>
                <w:rFonts w:ascii="Arial"/>
                <w:sz w:val="21"/>
              </w:rPr>
            </w:pPr>
          </w:p>
          <w:p w14:paraId="15D780D7">
            <w:pPr>
              <w:pStyle w:val="20"/>
              <w:keepNext w:val="0"/>
              <w:keepLines w:val="0"/>
              <w:pageBreakBefore w:val="0"/>
              <w:widowControl w:val="0"/>
              <w:kinsoku w:val="0"/>
              <w:wordWrap/>
              <w:overflowPunct/>
              <w:topLinePunct w:val="0"/>
              <w:autoSpaceDE w:val="0"/>
              <w:autoSpaceDN w:val="0"/>
              <w:bidi w:val="0"/>
              <w:adjustRightInd w:val="0"/>
              <w:snapToGrid w:val="0"/>
              <w:spacing w:before="68" w:line="183" w:lineRule="auto"/>
              <w:ind w:left="254"/>
              <w:jc w:val="center"/>
              <w:textAlignment w:val="baseline"/>
            </w:pPr>
            <w:r>
              <w:t>3</w:t>
            </w:r>
          </w:p>
        </w:tc>
        <w:tc>
          <w:tcPr>
            <w:tcW w:w="1701" w:type="dxa"/>
            <w:vAlign w:val="top"/>
          </w:tcPr>
          <w:p w14:paraId="5D1C3649">
            <w:pPr>
              <w:keepNext w:val="0"/>
              <w:keepLines w:val="0"/>
              <w:pageBreakBefore w:val="0"/>
              <w:widowControl w:val="0"/>
              <w:kinsoku w:val="0"/>
              <w:wordWrap/>
              <w:overflowPunct/>
              <w:topLinePunct w:val="0"/>
              <w:autoSpaceDE w:val="0"/>
              <w:autoSpaceDN w:val="0"/>
              <w:bidi w:val="0"/>
              <w:adjustRightInd w:val="0"/>
              <w:snapToGrid w:val="0"/>
              <w:spacing w:line="267" w:lineRule="auto"/>
              <w:jc w:val="center"/>
              <w:textAlignment w:val="baseline"/>
              <w:rPr>
                <w:rFonts w:ascii="Arial"/>
                <w:sz w:val="21"/>
              </w:rPr>
            </w:pPr>
          </w:p>
          <w:p w14:paraId="2270B533">
            <w:pPr>
              <w:keepNext w:val="0"/>
              <w:keepLines w:val="0"/>
              <w:pageBreakBefore w:val="0"/>
              <w:widowControl w:val="0"/>
              <w:kinsoku w:val="0"/>
              <w:wordWrap/>
              <w:overflowPunct/>
              <w:topLinePunct w:val="0"/>
              <w:autoSpaceDE w:val="0"/>
              <w:autoSpaceDN w:val="0"/>
              <w:bidi w:val="0"/>
              <w:adjustRightInd w:val="0"/>
              <w:snapToGrid w:val="0"/>
              <w:spacing w:line="267" w:lineRule="auto"/>
              <w:jc w:val="center"/>
              <w:textAlignment w:val="baseline"/>
              <w:rPr>
                <w:rFonts w:ascii="Arial"/>
                <w:sz w:val="21"/>
              </w:rPr>
            </w:pPr>
          </w:p>
          <w:p w14:paraId="43525EE6">
            <w:pPr>
              <w:keepNext w:val="0"/>
              <w:keepLines w:val="0"/>
              <w:pageBreakBefore w:val="0"/>
              <w:widowControl w:val="0"/>
              <w:kinsoku w:val="0"/>
              <w:wordWrap/>
              <w:overflowPunct/>
              <w:topLinePunct w:val="0"/>
              <w:autoSpaceDE w:val="0"/>
              <w:autoSpaceDN w:val="0"/>
              <w:bidi w:val="0"/>
              <w:adjustRightInd w:val="0"/>
              <w:snapToGrid w:val="0"/>
              <w:spacing w:line="268" w:lineRule="auto"/>
              <w:jc w:val="center"/>
              <w:textAlignment w:val="baseline"/>
              <w:rPr>
                <w:rFonts w:ascii="Arial"/>
                <w:sz w:val="21"/>
              </w:rPr>
            </w:pPr>
          </w:p>
          <w:p w14:paraId="7C1B61C3">
            <w:pPr>
              <w:keepNext w:val="0"/>
              <w:keepLines w:val="0"/>
              <w:pageBreakBefore w:val="0"/>
              <w:widowControl w:val="0"/>
              <w:kinsoku w:val="0"/>
              <w:wordWrap/>
              <w:overflowPunct/>
              <w:topLinePunct w:val="0"/>
              <w:autoSpaceDE w:val="0"/>
              <w:autoSpaceDN w:val="0"/>
              <w:bidi w:val="0"/>
              <w:adjustRightInd w:val="0"/>
              <w:snapToGrid w:val="0"/>
              <w:spacing w:line="268" w:lineRule="auto"/>
              <w:jc w:val="center"/>
              <w:textAlignment w:val="baseline"/>
              <w:rPr>
                <w:rFonts w:ascii="Arial"/>
                <w:sz w:val="21"/>
              </w:rPr>
            </w:pPr>
          </w:p>
          <w:p w14:paraId="3ADE239C">
            <w:pPr>
              <w:pStyle w:val="20"/>
              <w:keepNext w:val="0"/>
              <w:keepLines w:val="0"/>
              <w:pageBreakBefore w:val="0"/>
              <w:widowControl w:val="0"/>
              <w:kinsoku w:val="0"/>
              <w:wordWrap/>
              <w:overflowPunct/>
              <w:topLinePunct w:val="0"/>
              <w:autoSpaceDE w:val="0"/>
              <w:autoSpaceDN w:val="0"/>
              <w:bidi w:val="0"/>
              <w:adjustRightInd w:val="0"/>
              <w:snapToGrid w:val="0"/>
              <w:spacing w:before="68" w:line="219" w:lineRule="auto"/>
              <w:ind w:left="120"/>
              <w:jc w:val="center"/>
              <w:textAlignment w:val="baseline"/>
            </w:pPr>
            <w:r>
              <w:rPr>
                <w:spacing w:val="-2"/>
              </w:rPr>
              <w:t>水电维护管理</w:t>
            </w:r>
          </w:p>
        </w:tc>
        <w:tc>
          <w:tcPr>
            <w:tcW w:w="1655" w:type="dxa"/>
            <w:vAlign w:val="top"/>
          </w:tcPr>
          <w:p w14:paraId="67B873E7">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178" w:type="dxa"/>
            <w:vAlign w:val="top"/>
          </w:tcPr>
          <w:p w14:paraId="404249A7">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422" w:type="dxa"/>
            <w:vAlign w:val="top"/>
          </w:tcPr>
          <w:p w14:paraId="765A0C7C">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267" w:type="dxa"/>
            <w:vAlign w:val="top"/>
          </w:tcPr>
          <w:p w14:paraId="02F31087">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917" w:type="dxa"/>
            <w:vAlign w:val="top"/>
          </w:tcPr>
          <w:p w14:paraId="657071AF">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r>
      <w:tr w14:paraId="018D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704" w:type="dxa"/>
            <w:vAlign w:val="top"/>
          </w:tcPr>
          <w:p w14:paraId="0ECB4D06">
            <w:pPr>
              <w:keepNext w:val="0"/>
              <w:keepLines w:val="0"/>
              <w:pageBreakBefore w:val="0"/>
              <w:widowControl w:val="0"/>
              <w:kinsoku w:val="0"/>
              <w:wordWrap/>
              <w:overflowPunct/>
              <w:topLinePunct w:val="0"/>
              <w:autoSpaceDE w:val="0"/>
              <w:autoSpaceDN w:val="0"/>
              <w:bidi w:val="0"/>
              <w:adjustRightInd w:val="0"/>
              <w:snapToGrid w:val="0"/>
              <w:spacing w:line="300" w:lineRule="auto"/>
              <w:jc w:val="center"/>
              <w:textAlignment w:val="baseline"/>
              <w:rPr>
                <w:rFonts w:ascii="Arial"/>
                <w:sz w:val="21"/>
              </w:rPr>
            </w:pPr>
          </w:p>
          <w:p w14:paraId="7E70CFFC">
            <w:pPr>
              <w:pStyle w:val="20"/>
              <w:keepNext w:val="0"/>
              <w:keepLines w:val="0"/>
              <w:pageBreakBefore w:val="0"/>
              <w:widowControl w:val="0"/>
              <w:kinsoku w:val="0"/>
              <w:wordWrap/>
              <w:overflowPunct/>
              <w:topLinePunct w:val="0"/>
              <w:autoSpaceDE w:val="0"/>
              <w:autoSpaceDN w:val="0"/>
              <w:bidi w:val="0"/>
              <w:adjustRightInd w:val="0"/>
              <w:snapToGrid w:val="0"/>
              <w:spacing w:before="68" w:line="183" w:lineRule="auto"/>
              <w:ind w:left="254"/>
              <w:jc w:val="center"/>
              <w:textAlignment w:val="baseline"/>
            </w:pPr>
            <w:r>
              <w:t>3</w:t>
            </w:r>
          </w:p>
        </w:tc>
        <w:tc>
          <w:tcPr>
            <w:tcW w:w="1701" w:type="dxa"/>
            <w:vAlign w:val="top"/>
          </w:tcPr>
          <w:p w14:paraId="363D4E6C">
            <w:pPr>
              <w:keepNext w:val="0"/>
              <w:keepLines w:val="0"/>
              <w:pageBreakBefore w:val="0"/>
              <w:widowControl w:val="0"/>
              <w:kinsoku w:val="0"/>
              <w:wordWrap/>
              <w:overflowPunct/>
              <w:topLinePunct w:val="0"/>
              <w:autoSpaceDE w:val="0"/>
              <w:autoSpaceDN w:val="0"/>
              <w:bidi w:val="0"/>
              <w:adjustRightInd w:val="0"/>
              <w:snapToGrid w:val="0"/>
              <w:spacing w:line="247" w:lineRule="auto"/>
              <w:jc w:val="center"/>
              <w:textAlignment w:val="baseline"/>
              <w:rPr>
                <w:rFonts w:ascii="Arial"/>
                <w:sz w:val="21"/>
              </w:rPr>
            </w:pPr>
          </w:p>
          <w:p w14:paraId="0CBF0B52">
            <w:pPr>
              <w:pStyle w:val="20"/>
              <w:keepNext w:val="0"/>
              <w:keepLines w:val="0"/>
              <w:pageBreakBefore w:val="0"/>
              <w:widowControl w:val="0"/>
              <w:kinsoku w:val="0"/>
              <w:wordWrap/>
              <w:overflowPunct/>
              <w:topLinePunct w:val="0"/>
              <w:autoSpaceDE w:val="0"/>
              <w:autoSpaceDN w:val="0"/>
              <w:bidi w:val="0"/>
              <w:adjustRightInd w:val="0"/>
              <w:snapToGrid w:val="0"/>
              <w:spacing w:before="68" w:line="219" w:lineRule="auto"/>
              <w:ind w:left="331"/>
              <w:jc w:val="center"/>
              <w:textAlignment w:val="baseline"/>
            </w:pPr>
            <w:r>
              <w:rPr>
                <w:spacing w:val="-2"/>
              </w:rPr>
              <w:t>奖励加分</w:t>
            </w:r>
          </w:p>
        </w:tc>
        <w:tc>
          <w:tcPr>
            <w:tcW w:w="1655" w:type="dxa"/>
            <w:vAlign w:val="top"/>
          </w:tcPr>
          <w:p w14:paraId="03889466">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178" w:type="dxa"/>
            <w:vAlign w:val="top"/>
          </w:tcPr>
          <w:p w14:paraId="57F66B91">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422" w:type="dxa"/>
            <w:vAlign w:val="top"/>
          </w:tcPr>
          <w:p w14:paraId="5B7E2325">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1267" w:type="dxa"/>
            <w:vAlign w:val="top"/>
          </w:tcPr>
          <w:p w14:paraId="2A9324B5">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c>
          <w:tcPr>
            <w:tcW w:w="917" w:type="dxa"/>
            <w:vAlign w:val="top"/>
          </w:tcPr>
          <w:p w14:paraId="78E86641">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Arial"/>
                <w:sz w:val="21"/>
              </w:rPr>
            </w:pPr>
          </w:p>
        </w:tc>
      </w:tr>
      <w:tr w14:paraId="0903E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8844" w:type="dxa"/>
            <w:gridSpan w:val="7"/>
            <w:vAlign w:val="top"/>
          </w:tcPr>
          <w:p w14:paraId="26A111BC">
            <w:pPr>
              <w:pStyle w:val="20"/>
              <w:keepNext w:val="0"/>
              <w:keepLines w:val="0"/>
              <w:pageBreakBefore w:val="0"/>
              <w:widowControl w:val="0"/>
              <w:kinsoku w:val="0"/>
              <w:wordWrap/>
              <w:overflowPunct/>
              <w:topLinePunct w:val="0"/>
              <w:autoSpaceDE w:val="0"/>
              <w:autoSpaceDN w:val="0"/>
              <w:bidi w:val="0"/>
              <w:adjustRightInd w:val="0"/>
              <w:snapToGrid w:val="0"/>
              <w:spacing w:before="247" w:line="194" w:lineRule="auto"/>
              <w:ind w:left="425"/>
              <w:jc w:val="center"/>
              <w:textAlignment w:val="baseline"/>
            </w:pPr>
            <w:r>
              <w:rPr>
                <w:spacing w:val="1"/>
              </w:rPr>
              <w:t>考核人：</w:t>
            </w:r>
          </w:p>
          <w:p w14:paraId="492BDF26">
            <w:pPr>
              <w:pStyle w:val="20"/>
              <w:keepNext w:val="0"/>
              <w:keepLines w:val="0"/>
              <w:pageBreakBefore w:val="0"/>
              <w:widowControl w:val="0"/>
              <w:kinsoku w:val="0"/>
              <w:wordWrap/>
              <w:overflowPunct/>
              <w:topLinePunct w:val="0"/>
              <w:autoSpaceDE w:val="0"/>
              <w:autoSpaceDN w:val="0"/>
              <w:bidi w:val="0"/>
              <w:adjustRightInd w:val="0"/>
              <w:snapToGrid w:val="0"/>
              <w:spacing w:line="192" w:lineRule="auto"/>
              <w:ind w:left="4495"/>
              <w:jc w:val="center"/>
              <w:textAlignment w:val="baseline"/>
            </w:pPr>
            <w:r>
              <w:rPr>
                <w:spacing w:val="-1"/>
              </w:rPr>
              <w:t>审批人：</w:t>
            </w:r>
          </w:p>
          <w:p w14:paraId="20EEBCDB">
            <w:pPr>
              <w:pStyle w:val="20"/>
              <w:keepNext w:val="0"/>
              <w:keepLines w:val="0"/>
              <w:pageBreakBefore w:val="0"/>
              <w:widowControl w:val="0"/>
              <w:kinsoku w:val="0"/>
              <w:wordWrap/>
              <w:overflowPunct/>
              <w:topLinePunct w:val="0"/>
              <w:autoSpaceDE w:val="0"/>
              <w:autoSpaceDN w:val="0"/>
              <w:bidi w:val="0"/>
              <w:adjustRightInd w:val="0"/>
              <w:snapToGrid w:val="0"/>
              <w:spacing w:line="219" w:lineRule="auto"/>
              <w:ind w:left="425"/>
              <w:jc w:val="center"/>
              <w:textAlignment w:val="baseline"/>
            </w:pPr>
            <w:r>
              <w:t>考核日期：</w:t>
            </w:r>
          </w:p>
        </w:tc>
      </w:tr>
    </w:tbl>
    <w:p w14:paraId="2ABD2D7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hAnsi="Arial" w:eastAsia="Arial" w:cs="Arial"/>
          <w:sz w:val="21"/>
          <w:szCs w:val="21"/>
        </w:rPr>
        <w:sectPr>
          <w:pgSz w:w="11910" w:h="16840"/>
          <w:pgMar w:top="1440" w:right="1080" w:bottom="1440" w:left="1080" w:header="0" w:footer="0" w:gutter="0"/>
          <w:cols w:space="720" w:num="1"/>
        </w:sectPr>
      </w:pPr>
    </w:p>
    <w:p w14:paraId="484085BC">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16C4BA9B">
      <w:pPr>
        <w:keepNext w:val="0"/>
        <w:keepLines w:val="0"/>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29B4386">
      <w:pPr>
        <w:pStyle w:val="5"/>
        <w:keepNext w:val="0"/>
        <w:keepLines w:val="0"/>
        <w:pageBreakBefore w:val="0"/>
        <w:widowControl w:val="0"/>
        <w:kinsoku w:val="0"/>
        <w:wordWrap/>
        <w:overflowPunct/>
        <w:topLinePunct w:val="0"/>
        <w:autoSpaceDE w:val="0"/>
        <w:autoSpaceDN w:val="0"/>
        <w:bidi w:val="0"/>
        <w:adjustRightInd w:val="0"/>
        <w:snapToGrid w:val="0"/>
        <w:spacing w:before="78" w:line="221" w:lineRule="auto"/>
        <w:ind w:left="688"/>
        <w:textAlignment w:val="baseline"/>
        <w:rPr>
          <w:sz w:val="28"/>
          <w:szCs w:val="28"/>
        </w:rPr>
      </w:pPr>
      <w:r>
        <w:rPr>
          <w:b/>
          <w:bCs/>
          <w:sz w:val="28"/>
          <w:szCs w:val="28"/>
        </w:rPr>
        <w:t>表五、广东省粤东技师学院梅州校区物业管理服务满意情况调查表</w:t>
      </w:r>
    </w:p>
    <w:p w14:paraId="2F4238EE">
      <w:pPr>
        <w:pStyle w:val="5"/>
        <w:keepNext w:val="0"/>
        <w:keepLines w:val="0"/>
        <w:pageBreakBefore w:val="0"/>
        <w:widowControl w:val="0"/>
        <w:kinsoku w:val="0"/>
        <w:wordWrap/>
        <w:overflowPunct/>
        <w:topLinePunct w:val="0"/>
        <w:autoSpaceDE w:val="0"/>
        <w:autoSpaceDN w:val="0"/>
        <w:bidi w:val="0"/>
        <w:adjustRightInd w:val="0"/>
        <w:snapToGrid w:val="0"/>
        <w:spacing w:before="291" w:line="218" w:lineRule="auto"/>
        <w:ind w:left="6104"/>
        <w:textAlignment w:val="baseline"/>
        <w:rPr>
          <w:sz w:val="24"/>
          <w:szCs w:val="24"/>
        </w:rPr>
      </w:pPr>
      <w:r>
        <w:rPr>
          <w:spacing w:val="-8"/>
          <w:sz w:val="24"/>
          <w:szCs w:val="24"/>
        </w:rPr>
        <w:t>年</w:t>
      </w:r>
      <w:r>
        <w:rPr>
          <w:rFonts w:hint="eastAsia"/>
          <w:spacing w:val="-8"/>
          <w:sz w:val="24"/>
          <w:szCs w:val="24"/>
          <w:lang w:val="en-US" w:eastAsia="zh-CN"/>
        </w:rPr>
        <w:t xml:space="preserve">  </w:t>
      </w:r>
      <w:r>
        <w:rPr>
          <w:spacing w:val="-8"/>
          <w:sz w:val="24"/>
          <w:szCs w:val="24"/>
        </w:rPr>
        <w:t>月</w:t>
      </w:r>
      <w:r>
        <w:rPr>
          <w:rFonts w:hint="eastAsia"/>
          <w:spacing w:val="-8"/>
          <w:sz w:val="24"/>
          <w:szCs w:val="24"/>
          <w:lang w:val="en-US" w:eastAsia="zh-CN"/>
        </w:rPr>
        <w:t xml:space="preserve">  </w:t>
      </w:r>
      <w:r>
        <w:rPr>
          <w:spacing w:val="-8"/>
          <w:sz w:val="24"/>
          <w:szCs w:val="24"/>
        </w:rPr>
        <w:t>日</w:t>
      </w:r>
    </w:p>
    <w:p w14:paraId="435E8D64">
      <w:pPr>
        <w:keepNext w:val="0"/>
        <w:keepLines w:val="0"/>
        <w:pageBreakBefore w:val="0"/>
        <w:widowControl w:val="0"/>
        <w:kinsoku w:val="0"/>
        <w:wordWrap/>
        <w:overflowPunct/>
        <w:topLinePunct w:val="0"/>
        <w:autoSpaceDE w:val="0"/>
        <w:autoSpaceDN w:val="0"/>
        <w:bidi w:val="0"/>
        <w:adjustRightInd w:val="0"/>
        <w:snapToGrid w:val="0"/>
        <w:spacing w:line="147" w:lineRule="exact"/>
        <w:textAlignment w:val="baseline"/>
      </w:pPr>
    </w:p>
    <w:tbl>
      <w:tblPr>
        <w:tblStyle w:val="21"/>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186"/>
        <w:gridCol w:w="4540"/>
      </w:tblGrid>
      <w:tr w14:paraId="0BD7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674" w:type="dxa"/>
            <w:vAlign w:val="top"/>
          </w:tcPr>
          <w:p w14:paraId="4ADF1E9D">
            <w:pPr>
              <w:pStyle w:val="20"/>
              <w:keepNext w:val="0"/>
              <w:keepLines w:val="0"/>
              <w:pageBreakBefore w:val="0"/>
              <w:widowControl w:val="0"/>
              <w:kinsoku w:val="0"/>
              <w:wordWrap/>
              <w:overflowPunct/>
              <w:topLinePunct w:val="0"/>
              <w:autoSpaceDE w:val="0"/>
              <w:autoSpaceDN w:val="0"/>
              <w:bidi w:val="0"/>
              <w:adjustRightInd w:val="0"/>
              <w:snapToGrid w:val="0"/>
              <w:spacing w:before="165" w:line="221" w:lineRule="auto"/>
              <w:ind w:left="94"/>
              <w:textAlignment w:val="baseline"/>
              <w:rPr>
                <w:sz w:val="23"/>
                <w:szCs w:val="23"/>
              </w:rPr>
            </w:pPr>
            <w:r>
              <w:rPr>
                <w:spacing w:val="7"/>
                <w:sz w:val="23"/>
                <w:szCs w:val="23"/>
              </w:rPr>
              <w:t>序号</w:t>
            </w:r>
          </w:p>
        </w:tc>
        <w:tc>
          <w:tcPr>
            <w:tcW w:w="3186" w:type="dxa"/>
            <w:vAlign w:val="top"/>
          </w:tcPr>
          <w:p w14:paraId="6907449E">
            <w:pPr>
              <w:pStyle w:val="20"/>
              <w:keepNext w:val="0"/>
              <w:keepLines w:val="0"/>
              <w:pageBreakBefore w:val="0"/>
              <w:widowControl w:val="0"/>
              <w:kinsoku w:val="0"/>
              <w:wordWrap/>
              <w:overflowPunct/>
              <w:topLinePunct w:val="0"/>
              <w:autoSpaceDE w:val="0"/>
              <w:autoSpaceDN w:val="0"/>
              <w:bidi w:val="0"/>
              <w:adjustRightInd w:val="0"/>
              <w:snapToGrid w:val="0"/>
              <w:spacing w:before="164" w:line="219" w:lineRule="auto"/>
              <w:ind w:left="1350"/>
              <w:textAlignment w:val="baseline"/>
              <w:rPr>
                <w:sz w:val="23"/>
                <w:szCs w:val="23"/>
              </w:rPr>
            </w:pPr>
            <w:r>
              <w:rPr>
                <w:spacing w:val="5"/>
                <w:sz w:val="23"/>
                <w:szCs w:val="23"/>
              </w:rPr>
              <w:t>内容</w:t>
            </w:r>
          </w:p>
        </w:tc>
        <w:tc>
          <w:tcPr>
            <w:tcW w:w="4540" w:type="dxa"/>
            <w:vAlign w:val="top"/>
          </w:tcPr>
          <w:p w14:paraId="3DF5D413">
            <w:pPr>
              <w:pStyle w:val="20"/>
              <w:keepNext w:val="0"/>
              <w:keepLines w:val="0"/>
              <w:pageBreakBefore w:val="0"/>
              <w:widowControl w:val="0"/>
              <w:kinsoku w:val="0"/>
              <w:wordWrap/>
              <w:overflowPunct/>
              <w:topLinePunct w:val="0"/>
              <w:autoSpaceDE w:val="0"/>
              <w:autoSpaceDN w:val="0"/>
              <w:bidi w:val="0"/>
              <w:adjustRightInd w:val="0"/>
              <w:snapToGrid w:val="0"/>
              <w:spacing w:before="164" w:line="219" w:lineRule="auto"/>
              <w:ind w:left="1875"/>
              <w:textAlignment w:val="baseline"/>
              <w:rPr>
                <w:sz w:val="23"/>
                <w:szCs w:val="23"/>
              </w:rPr>
            </w:pPr>
            <w:r>
              <w:rPr>
                <w:spacing w:val="3"/>
                <w:sz w:val="23"/>
                <w:szCs w:val="23"/>
              </w:rPr>
              <w:t>满意程度</w:t>
            </w:r>
          </w:p>
        </w:tc>
      </w:tr>
      <w:tr w14:paraId="47B1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674" w:type="dxa"/>
            <w:vAlign w:val="top"/>
          </w:tcPr>
          <w:p w14:paraId="278A0450">
            <w:pPr>
              <w:pStyle w:val="20"/>
              <w:keepNext w:val="0"/>
              <w:keepLines w:val="0"/>
              <w:pageBreakBefore w:val="0"/>
              <w:widowControl w:val="0"/>
              <w:kinsoku w:val="0"/>
              <w:wordWrap/>
              <w:overflowPunct/>
              <w:topLinePunct w:val="0"/>
              <w:autoSpaceDE w:val="0"/>
              <w:autoSpaceDN w:val="0"/>
              <w:bidi w:val="0"/>
              <w:adjustRightInd w:val="0"/>
              <w:snapToGrid w:val="0"/>
              <w:spacing w:before="208" w:line="184" w:lineRule="auto"/>
              <w:ind w:left="265"/>
              <w:textAlignment w:val="baseline"/>
              <w:rPr>
                <w:sz w:val="23"/>
                <w:szCs w:val="23"/>
              </w:rPr>
            </w:pPr>
            <w:r>
              <w:rPr>
                <w:sz w:val="23"/>
                <w:szCs w:val="23"/>
              </w:rPr>
              <w:t>1</w:t>
            </w:r>
          </w:p>
        </w:tc>
        <w:tc>
          <w:tcPr>
            <w:tcW w:w="3186" w:type="dxa"/>
            <w:vAlign w:val="top"/>
          </w:tcPr>
          <w:p w14:paraId="5ED0956B">
            <w:pPr>
              <w:pStyle w:val="20"/>
              <w:keepNext w:val="0"/>
              <w:keepLines w:val="0"/>
              <w:pageBreakBefore w:val="0"/>
              <w:widowControl w:val="0"/>
              <w:kinsoku w:val="0"/>
              <w:wordWrap/>
              <w:overflowPunct/>
              <w:topLinePunct w:val="0"/>
              <w:autoSpaceDE w:val="0"/>
              <w:autoSpaceDN w:val="0"/>
              <w:bidi w:val="0"/>
              <w:adjustRightInd w:val="0"/>
              <w:snapToGrid w:val="0"/>
              <w:spacing w:before="148" w:line="219" w:lineRule="auto"/>
              <w:ind w:left="431"/>
              <w:textAlignment w:val="baseline"/>
              <w:rPr>
                <w:sz w:val="23"/>
                <w:szCs w:val="23"/>
              </w:rPr>
            </w:pPr>
            <w:r>
              <w:rPr>
                <w:spacing w:val="1"/>
                <w:sz w:val="23"/>
                <w:szCs w:val="23"/>
              </w:rPr>
              <w:t>员工的仪表，文明举止</w:t>
            </w:r>
          </w:p>
        </w:tc>
        <w:tc>
          <w:tcPr>
            <w:tcW w:w="4540" w:type="dxa"/>
            <w:vAlign w:val="top"/>
          </w:tcPr>
          <w:p w14:paraId="0C3AB0B0">
            <w:pPr>
              <w:pStyle w:val="20"/>
              <w:keepNext w:val="0"/>
              <w:keepLines w:val="0"/>
              <w:pageBreakBefore w:val="0"/>
              <w:widowControl w:val="0"/>
              <w:kinsoku w:val="0"/>
              <w:wordWrap/>
              <w:overflowPunct/>
              <w:topLinePunct w:val="0"/>
              <w:autoSpaceDE w:val="0"/>
              <w:autoSpaceDN w:val="0"/>
              <w:bidi w:val="0"/>
              <w:adjustRightInd w:val="0"/>
              <w:snapToGrid w:val="0"/>
              <w:spacing w:before="148" w:line="219" w:lineRule="auto"/>
              <w:ind w:left="255"/>
              <w:textAlignment w:val="baseline"/>
              <w:rPr>
                <w:sz w:val="23"/>
                <w:szCs w:val="23"/>
              </w:rPr>
            </w:pPr>
            <w:r>
              <w:rPr>
                <w:spacing w:val="1"/>
                <w:sz w:val="23"/>
                <w:szCs w:val="23"/>
              </w:rPr>
              <w:t>满意()基本满意()不满意()</w:t>
            </w:r>
          </w:p>
        </w:tc>
      </w:tr>
      <w:tr w14:paraId="421F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37CDA44A">
            <w:pPr>
              <w:pStyle w:val="20"/>
              <w:keepNext w:val="0"/>
              <w:keepLines w:val="0"/>
              <w:pageBreakBefore w:val="0"/>
              <w:widowControl w:val="0"/>
              <w:kinsoku w:val="0"/>
              <w:wordWrap/>
              <w:overflowPunct/>
              <w:topLinePunct w:val="0"/>
              <w:autoSpaceDE w:val="0"/>
              <w:autoSpaceDN w:val="0"/>
              <w:bidi w:val="0"/>
              <w:adjustRightInd w:val="0"/>
              <w:snapToGrid w:val="0"/>
              <w:spacing w:before="220" w:line="183" w:lineRule="auto"/>
              <w:ind w:left="265"/>
              <w:textAlignment w:val="baseline"/>
              <w:rPr>
                <w:sz w:val="23"/>
                <w:szCs w:val="23"/>
              </w:rPr>
            </w:pPr>
            <w:r>
              <w:rPr>
                <w:sz w:val="23"/>
                <w:szCs w:val="23"/>
              </w:rPr>
              <w:t>2</w:t>
            </w:r>
          </w:p>
        </w:tc>
        <w:tc>
          <w:tcPr>
            <w:tcW w:w="3186" w:type="dxa"/>
            <w:vAlign w:val="top"/>
          </w:tcPr>
          <w:p w14:paraId="75151731">
            <w:pPr>
              <w:pStyle w:val="20"/>
              <w:keepNext w:val="0"/>
              <w:keepLines w:val="0"/>
              <w:pageBreakBefore w:val="0"/>
              <w:widowControl w:val="0"/>
              <w:kinsoku w:val="0"/>
              <w:wordWrap/>
              <w:overflowPunct/>
              <w:topLinePunct w:val="0"/>
              <w:autoSpaceDE w:val="0"/>
              <w:autoSpaceDN w:val="0"/>
              <w:bidi w:val="0"/>
              <w:adjustRightInd w:val="0"/>
              <w:snapToGrid w:val="0"/>
              <w:spacing w:before="161" w:line="219" w:lineRule="auto"/>
              <w:ind w:left="780"/>
              <w:textAlignment w:val="baseline"/>
              <w:rPr>
                <w:sz w:val="23"/>
                <w:szCs w:val="23"/>
              </w:rPr>
            </w:pPr>
            <w:r>
              <w:rPr>
                <w:spacing w:val="1"/>
                <w:sz w:val="23"/>
                <w:szCs w:val="23"/>
              </w:rPr>
              <w:t>热情为师生服务</w:t>
            </w:r>
          </w:p>
        </w:tc>
        <w:tc>
          <w:tcPr>
            <w:tcW w:w="4540" w:type="dxa"/>
            <w:vAlign w:val="top"/>
          </w:tcPr>
          <w:p w14:paraId="5BBB43CA">
            <w:pPr>
              <w:pStyle w:val="20"/>
              <w:keepNext w:val="0"/>
              <w:keepLines w:val="0"/>
              <w:pageBreakBefore w:val="0"/>
              <w:widowControl w:val="0"/>
              <w:kinsoku w:val="0"/>
              <w:wordWrap/>
              <w:overflowPunct/>
              <w:topLinePunct w:val="0"/>
              <w:autoSpaceDE w:val="0"/>
              <w:autoSpaceDN w:val="0"/>
              <w:bidi w:val="0"/>
              <w:adjustRightInd w:val="0"/>
              <w:snapToGrid w:val="0"/>
              <w:spacing w:before="160" w:line="228" w:lineRule="auto"/>
              <w:ind w:left="255"/>
              <w:textAlignment w:val="baseline"/>
              <w:rPr>
                <w:sz w:val="23"/>
                <w:szCs w:val="23"/>
              </w:rPr>
            </w:pPr>
            <w:r>
              <w:rPr>
                <w:spacing w:val="5"/>
                <w:sz w:val="23"/>
                <w:szCs w:val="23"/>
              </w:rPr>
              <w:t>满意()基本满意()</w:t>
            </w:r>
            <w:r>
              <w:rPr>
                <w:spacing w:val="5"/>
                <w:position w:val="-1"/>
                <w:sz w:val="23"/>
                <w:szCs w:val="23"/>
              </w:rPr>
              <w:t>不满意()</w:t>
            </w:r>
          </w:p>
        </w:tc>
      </w:tr>
      <w:tr w14:paraId="61AC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674" w:type="dxa"/>
            <w:vAlign w:val="top"/>
          </w:tcPr>
          <w:p w14:paraId="5946CA61">
            <w:pPr>
              <w:pStyle w:val="20"/>
              <w:keepNext w:val="0"/>
              <w:keepLines w:val="0"/>
              <w:pageBreakBefore w:val="0"/>
              <w:widowControl w:val="0"/>
              <w:kinsoku w:val="0"/>
              <w:wordWrap/>
              <w:overflowPunct/>
              <w:topLinePunct w:val="0"/>
              <w:autoSpaceDE w:val="0"/>
              <w:autoSpaceDN w:val="0"/>
              <w:bidi w:val="0"/>
              <w:adjustRightInd w:val="0"/>
              <w:snapToGrid w:val="0"/>
              <w:spacing w:before="221" w:line="183" w:lineRule="auto"/>
              <w:ind w:left="265"/>
              <w:textAlignment w:val="baseline"/>
              <w:rPr>
                <w:sz w:val="23"/>
                <w:szCs w:val="23"/>
              </w:rPr>
            </w:pPr>
            <w:r>
              <w:rPr>
                <w:sz w:val="23"/>
                <w:szCs w:val="23"/>
              </w:rPr>
              <w:t>3</w:t>
            </w:r>
          </w:p>
        </w:tc>
        <w:tc>
          <w:tcPr>
            <w:tcW w:w="3186" w:type="dxa"/>
            <w:vAlign w:val="top"/>
          </w:tcPr>
          <w:p w14:paraId="10F33D9D">
            <w:pPr>
              <w:pStyle w:val="20"/>
              <w:keepNext w:val="0"/>
              <w:keepLines w:val="0"/>
              <w:pageBreakBefore w:val="0"/>
              <w:widowControl w:val="0"/>
              <w:kinsoku w:val="0"/>
              <w:wordWrap/>
              <w:overflowPunct/>
              <w:topLinePunct w:val="0"/>
              <w:autoSpaceDE w:val="0"/>
              <w:autoSpaceDN w:val="0"/>
              <w:bidi w:val="0"/>
              <w:adjustRightInd w:val="0"/>
              <w:snapToGrid w:val="0"/>
              <w:spacing w:before="162" w:line="219" w:lineRule="auto"/>
              <w:ind w:left="431"/>
              <w:textAlignment w:val="baseline"/>
              <w:rPr>
                <w:sz w:val="23"/>
                <w:szCs w:val="23"/>
              </w:rPr>
            </w:pPr>
            <w:r>
              <w:rPr>
                <w:sz w:val="23"/>
                <w:szCs w:val="23"/>
              </w:rPr>
              <w:t>各楼宇的卫生保洁状况</w:t>
            </w:r>
          </w:p>
        </w:tc>
        <w:tc>
          <w:tcPr>
            <w:tcW w:w="4540" w:type="dxa"/>
            <w:vAlign w:val="top"/>
          </w:tcPr>
          <w:p w14:paraId="35864A25">
            <w:pPr>
              <w:pStyle w:val="20"/>
              <w:keepNext w:val="0"/>
              <w:keepLines w:val="0"/>
              <w:pageBreakBefore w:val="0"/>
              <w:widowControl w:val="0"/>
              <w:kinsoku w:val="0"/>
              <w:wordWrap/>
              <w:overflowPunct/>
              <w:topLinePunct w:val="0"/>
              <w:autoSpaceDE w:val="0"/>
              <w:autoSpaceDN w:val="0"/>
              <w:bidi w:val="0"/>
              <w:adjustRightInd w:val="0"/>
              <w:snapToGrid w:val="0"/>
              <w:spacing w:before="160" w:line="219" w:lineRule="auto"/>
              <w:ind w:left="245"/>
              <w:textAlignment w:val="baseline"/>
              <w:rPr>
                <w:sz w:val="23"/>
                <w:szCs w:val="23"/>
              </w:rPr>
            </w:pPr>
            <w:r>
              <w:rPr>
                <w:spacing w:val="1"/>
                <w:sz w:val="23"/>
                <w:szCs w:val="23"/>
              </w:rPr>
              <w:t>满意()基本满意()不满意()</w:t>
            </w:r>
          </w:p>
        </w:tc>
      </w:tr>
      <w:tr w14:paraId="62A3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04154CF1">
            <w:pPr>
              <w:pStyle w:val="20"/>
              <w:keepNext w:val="0"/>
              <w:keepLines w:val="0"/>
              <w:pageBreakBefore w:val="0"/>
              <w:widowControl w:val="0"/>
              <w:kinsoku w:val="0"/>
              <w:wordWrap/>
              <w:overflowPunct/>
              <w:topLinePunct w:val="0"/>
              <w:autoSpaceDE w:val="0"/>
              <w:autoSpaceDN w:val="0"/>
              <w:bidi w:val="0"/>
              <w:adjustRightInd w:val="0"/>
              <w:snapToGrid w:val="0"/>
              <w:spacing w:before="221" w:line="183" w:lineRule="auto"/>
              <w:ind w:left="265"/>
              <w:textAlignment w:val="baseline"/>
              <w:rPr>
                <w:sz w:val="23"/>
                <w:szCs w:val="23"/>
              </w:rPr>
            </w:pPr>
            <w:r>
              <w:rPr>
                <w:sz w:val="23"/>
                <w:szCs w:val="23"/>
              </w:rPr>
              <w:t>4</w:t>
            </w:r>
          </w:p>
        </w:tc>
        <w:tc>
          <w:tcPr>
            <w:tcW w:w="3186" w:type="dxa"/>
            <w:vAlign w:val="top"/>
          </w:tcPr>
          <w:p w14:paraId="5D1FB4DE">
            <w:pPr>
              <w:pStyle w:val="20"/>
              <w:keepNext w:val="0"/>
              <w:keepLines w:val="0"/>
              <w:pageBreakBefore w:val="0"/>
              <w:widowControl w:val="0"/>
              <w:kinsoku w:val="0"/>
              <w:wordWrap/>
              <w:overflowPunct/>
              <w:topLinePunct w:val="0"/>
              <w:autoSpaceDE w:val="0"/>
              <w:autoSpaceDN w:val="0"/>
              <w:bidi w:val="0"/>
              <w:adjustRightInd w:val="0"/>
              <w:snapToGrid w:val="0"/>
              <w:spacing w:before="162" w:line="219" w:lineRule="auto"/>
              <w:ind w:left="660"/>
              <w:textAlignment w:val="baseline"/>
              <w:rPr>
                <w:sz w:val="23"/>
                <w:szCs w:val="23"/>
              </w:rPr>
            </w:pPr>
            <w:r>
              <w:rPr>
                <w:spacing w:val="-1"/>
                <w:sz w:val="23"/>
                <w:szCs w:val="23"/>
              </w:rPr>
              <w:t>楼宇周边环境情况</w:t>
            </w:r>
          </w:p>
        </w:tc>
        <w:tc>
          <w:tcPr>
            <w:tcW w:w="4540" w:type="dxa"/>
            <w:vAlign w:val="top"/>
          </w:tcPr>
          <w:p w14:paraId="7705330D">
            <w:pPr>
              <w:pStyle w:val="20"/>
              <w:keepNext w:val="0"/>
              <w:keepLines w:val="0"/>
              <w:pageBreakBefore w:val="0"/>
              <w:widowControl w:val="0"/>
              <w:kinsoku w:val="0"/>
              <w:wordWrap/>
              <w:overflowPunct/>
              <w:topLinePunct w:val="0"/>
              <w:autoSpaceDE w:val="0"/>
              <w:autoSpaceDN w:val="0"/>
              <w:bidi w:val="0"/>
              <w:adjustRightInd w:val="0"/>
              <w:snapToGrid w:val="0"/>
              <w:spacing w:before="181" w:line="219" w:lineRule="auto"/>
              <w:ind w:left="255"/>
              <w:textAlignment w:val="baseline"/>
              <w:rPr>
                <w:sz w:val="23"/>
                <w:szCs w:val="23"/>
              </w:rPr>
            </w:pPr>
            <w:r>
              <w:rPr>
                <w:spacing w:val="1"/>
                <w:sz w:val="23"/>
                <w:szCs w:val="23"/>
              </w:rPr>
              <w:t>满意()基本满意()不满意()</w:t>
            </w:r>
          </w:p>
        </w:tc>
      </w:tr>
      <w:tr w14:paraId="23D6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5F113522">
            <w:pPr>
              <w:pStyle w:val="20"/>
              <w:keepNext w:val="0"/>
              <w:keepLines w:val="0"/>
              <w:pageBreakBefore w:val="0"/>
              <w:widowControl w:val="0"/>
              <w:kinsoku w:val="0"/>
              <w:wordWrap/>
              <w:overflowPunct/>
              <w:topLinePunct w:val="0"/>
              <w:autoSpaceDE w:val="0"/>
              <w:autoSpaceDN w:val="0"/>
              <w:bidi w:val="0"/>
              <w:adjustRightInd w:val="0"/>
              <w:snapToGrid w:val="0"/>
              <w:spacing w:before="223" w:line="182" w:lineRule="auto"/>
              <w:ind w:left="265"/>
              <w:textAlignment w:val="baseline"/>
              <w:rPr>
                <w:sz w:val="23"/>
                <w:szCs w:val="23"/>
              </w:rPr>
            </w:pPr>
            <w:r>
              <w:rPr>
                <w:sz w:val="23"/>
                <w:szCs w:val="23"/>
              </w:rPr>
              <w:t>5</w:t>
            </w:r>
          </w:p>
        </w:tc>
        <w:tc>
          <w:tcPr>
            <w:tcW w:w="3186" w:type="dxa"/>
            <w:vAlign w:val="top"/>
          </w:tcPr>
          <w:p w14:paraId="034C2A0B">
            <w:pPr>
              <w:pStyle w:val="20"/>
              <w:keepNext w:val="0"/>
              <w:keepLines w:val="0"/>
              <w:pageBreakBefore w:val="0"/>
              <w:widowControl w:val="0"/>
              <w:kinsoku w:val="0"/>
              <w:wordWrap/>
              <w:overflowPunct/>
              <w:topLinePunct w:val="0"/>
              <w:autoSpaceDE w:val="0"/>
              <w:autoSpaceDN w:val="0"/>
              <w:bidi w:val="0"/>
              <w:adjustRightInd w:val="0"/>
              <w:snapToGrid w:val="0"/>
              <w:spacing w:before="164" w:line="220" w:lineRule="auto"/>
              <w:ind w:left="890"/>
              <w:textAlignment w:val="baseline"/>
              <w:rPr>
                <w:sz w:val="23"/>
                <w:szCs w:val="23"/>
              </w:rPr>
            </w:pPr>
            <w:r>
              <w:rPr>
                <w:spacing w:val="1"/>
                <w:sz w:val="23"/>
                <w:szCs w:val="23"/>
              </w:rPr>
              <w:t>垃圾清理情况</w:t>
            </w:r>
          </w:p>
        </w:tc>
        <w:tc>
          <w:tcPr>
            <w:tcW w:w="4540" w:type="dxa"/>
            <w:vAlign w:val="top"/>
          </w:tcPr>
          <w:p w14:paraId="366CA651">
            <w:pPr>
              <w:pStyle w:val="20"/>
              <w:keepNext w:val="0"/>
              <w:keepLines w:val="0"/>
              <w:pageBreakBefore w:val="0"/>
              <w:widowControl w:val="0"/>
              <w:kinsoku w:val="0"/>
              <w:wordWrap/>
              <w:overflowPunct/>
              <w:topLinePunct w:val="0"/>
              <w:autoSpaceDE w:val="0"/>
              <w:autoSpaceDN w:val="0"/>
              <w:bidi w:val="0"/>
              <w:adjustRightInd w:val="0"/>
              <w:snapToGrid w:val="0"/>
              <w:spacing w:before="192" w:line="219" w:lineRule="auto"/>
              <w:ind w:left="265"/>
              <w:textAlignment w:val="baseline"/>
              <w:rPr>
                <w:sz w:val="23"/>
                <w:szCs w:val="23"/>
              </w:rPr>
            </w:pPr>
            <w:r>
              <w:rPr>
                <w:spacing w:val="10"/>
                <w:sz w:val="23"/>
                <w:szCs w:val="23"/>
              </w:rPr>
              <w:t>满意()基本满意()不满意()</w:t>
            </w:r>
          </w:p>
        </w:tc>
      </w:tr>
      <w:tr w14:paraId="3CF3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674" w:type="dxa"/>
            <w:vAlign w:val="top"/>
          </w:tcPr>
          <w:p w14:paraId="5B32E193">
            <w:pPr>
              <w:pStyle w:val="20"/>
              <w:keepNext w:val="0"/>
              <w:keepLines w:val="0"/>
              <w:pageBreakBefore w:val="0"/>
              <w:widowControl w:val="0"/>
              <w:kinsoku w:val="0"/>
              <w:wordWrap/>
              <w:overflowPunct/>
              <w:topLinePunct w:val="0"/>
              <w:autoSpaceDE w:val="0"/>
              <w:autoSpaceDN w:val="0"/>
              <w:bidi w:val="0"/>
              <w:adjustRightInd w:val="0"/>
              <w:snapToGrid w:val="0"/>
              <w:spacing w:before="213" w:line="183" w:lineRule="auto"/>
              <w:ind w:left="265"/>
              <w:textAlignment w:val="baseline"/>
              <w:rPr>
                <w:sz w:val="23"/>
                <w:szCs w:val="23"/>
              </w:rPr>
            </w:pPr>
            <w:r>
              <w:rPr>
                <w:sz w:val="23"/>
                <w:szCs w:val="23"/>
              </w:rPr>
              <w:t>6</w:t>
            </w:r>
          </w:p>
        </w:tc>
        <w:tc>
          <w:tcPr>
            <w:tcW w:w="3186" w:type="dxa"/>
            <w:vAlign w:val="top"/>
          </w:tcPr>
          <w:p w14:paraId="21D7D6B7">
            <w:pPr>
              <w:pStyle w:val="20"/>
              <w:keepNext w:val="0"/>
              <w:keepLines w:val="0"/>
              <w:pageBreakBefore w:val="0"/>
              <w:widowControl w:val="0"/>
              <w:kinsoku w:val="0"/>
              <w:wordWrap/>
              <w:overflowPunct/>
              <w:topLinePunct w:val="0"/>
              <w:autoSpaceDE w:val="0"/>
              <w:autoSpaceDN w:val="0"/>
              <w:bidi w:val="0"/>
              <w:adjustRightInd w:val="0"/>
              <w:snapToGrid w:val="0"/>
              <w:spacing w:before="154" w:line="219" w:lineRule="auto"/>
              <w:ind w:left="890"/>
              <w:textAlignment w:val="baseline"/>
              <w:rPr>
                <w:sz w:val="23"/>
                <w:szCs w:val="23"/>
              </w:rPr>
            </w:pPr>
            <w:r>
              <w:rPr>
                <w:spacing w:val="1"/>
                <w:sz w:val="23"/>
                <w:szCs w:val="23"/>
              </w:rPr>
              <w:t>管道疏通情况</w:t>
            </w:r>
          </w:p>
        </w:tc>
        <w:tc>
          <w:tcPr>
            <w:tcW w:w="4540" w:type="dxa"/>
            <w:vAlign w:val="top"/>
          </w:tcPr>
          <w:p w14:paraId="0B147D6D">
            <w:pPr>
              <w:pStyle w:val="20"/>
              <w:keepNext w:val="0"/>
              <w:keepLines w:val="0"/>
              <w:pageBreakBefore w:val="0"/>
              <w:widowControl w:val="0"/>
              <w:kinsoku w:val="0"/>
              <w:wordWrap/>
              <w:overflowPunct/>
              <w:topLinePunct w:val="0"/>
              <w:autoSpaceDE w:val="0"/>
              <w:autoSpaceDN w:val="0"/>
              <w:bidi w:val="0"/>
              <w:adjustRightInd w:val="0"/>
              <w:snapToGrid w:val="0"/>
              <w:spacing w:before="173" w:line="227" w:lineRule="auto"/>
              <w:ind w:left="265"/>
              <w:textAlignment w:val="baseline"/>
              <w:rPr>
                <w:sz w:val="23"/>
                <w:szCs w:val="23"/>
              </w:rPr>
            </w:pPr>
            <w:r>
              <w:rPr>
                <w:spacing w:val="10"/>
                <w:sz w:val="23"/>
                <w:szCs w:val="23"/>
              </w:rPr>
              <w:t>满意()基本满意()不满意()</w:t>
            </w:r>
          </w:p>
        </w:tc>
      </w:tr>
      <w:tr w14:paraId="3213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6211DAAB">
            <w:pPr>
              <w:pStyle w:val="20"/>
              <w:keepNext w:val="0"/>
              <w:keepLines w:val="0"/>
              <w:pageBreakBefore w:val="0"/>
              <w:widowControl w:val="0"/>
              <w:kinsoku w:val="0"/>
              <w:wordWrap/>
              <w:overflowPunct/>
              <w:topLinePunct w:val="0"/>
              <w:autoSpaceDE w:val="0"/>
              <w:autoSpaceDN w:val="0"/>
              <w:bidi w:val="0"/>
              <w:adjustRightInd w:val="0"/>
              <w:snapToGrid w:val="0"/>
              <w:spacing w:before="225" w:line="182" w:lineRule="auto"/>
              <w:ind w:left="265"/>
              <w:textAlignment w:val="baseline"/>
              <w:rPr>
                <w:sz w:val="23"/>
                <w:szCs w:val="23"/>
              </w:rPr>
            </w:pPr>
            <w:r>
              <w:rPr>
                <w:sz w:val="23"/>
                <w:szCs w:val="23"/>
              </w:rPr>
              <w:t>7</w:t>
            </w:r>
          </w:p>
        </w:tc>
        <w:tc>
          <w:tcPr>
            <w:tcW w:w="3186" w:type="dxa"/>
            <w:vAlign w:val="top"/>
          </w:tcPr>
          <w:p w14:paraId="009B8FBD">
            <w:pPr>
              <w:pStyle w:val="20"/>
              <w:keepNext w:val="0"/>
              <w:keepLines w:val="0"/>
              <w:pageBreakBefore w:val="0"/>
              <w:widowControl w:val="0"/>
              <w:kinsoku w:val="0"/>
              <w:wordWrap/>
              <w:overflowPunct/>
              <w:topLinePunct w:val="0"/>
              <w:autoSpaceDE w:val="0"/>
              <w:autoSpaceDN w:val="0"/>
              <w:bidi w:val="0"/>
              <w:adjustRightInd w:val="0"/>
              <w:snapToGrid w:val="0"/>
              <w:spacing w:before="165" w:line="219" w:lineRule="auto"/>
              <w:ind w:left="660"/>
              <w:textAlignment w:val="baseline"/>
              <w:rPr>
                <w:sz w:val="23"/>
                <w:szCs w:val="23"/>
              </w:rPr>
            </w:pPr>
            <w:r>
              <w:rPr>
                <w:spacing w:val="-2"/>
                <w:sz w:val="23"/>
                <w:szCs w:val="23"/>
              </w:rPr>
              <w:t>校园绿化养护情况</w:t>
            </w:r>
          </w:p>
        </w:tc>
        <w:tc>
          <w:tcPr>
            <w:tcW w:w="4540" w:type="dxa"/>
            <w:vAlign w:val="top"/>
          </w:tcPr>
          <w:p w14:paraId="6958FC8B">
            <w:pPr>
              <w:pStyle w:val="20"/>
              <w:keepNext w:val="0"/>
              <w:keepLines w:val="0"/>
              <w:pageBreakBefore w:val="0"/>
              <w:widowControl w:val="0"/>
              <w:kinsoku w:val="0"/>
              <w:wordWrap/>
              <w:overflowPunct/>
              <w:topLinePunct w:val="0"/>
              <w:autoSpaceDE w:val="0"/>
              <w:autoSpaceDN w:val="0"/>
              <w:bidi w:val="0"/>
              <w:adjustRightInd w:val="0"/>
              <w:snapToGrid w:val="0"/>
              <w:spacing w:before="184" w:line="227" w:lineRule="auto"/>
              <w:ind w:left="265"/>
              <w:textAlignment w:val="baseline"/>
              <w:rPr>
                <w:sz w:val="23"/>
                <w:szCs w:val="23"/>
              </w:rPr>
            </w:pPr>
            <w:r>
              <w:rPr>
                <w:spacing w:val="10"/>
                <w:sz w:val="23"/>
                <w:szCs w:val="23"/>
              </w:rPr>
              <w:t>满意()基本满意()不满意()</w:t>
            </w:r>
          </w:p>
        </w:tc>
      </w:tr>
      <w:tr w14:paraId="678E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66E8800B">
            <w:pPr>
              <w:pStyle w:val="20"/>
              <w:keepNext w:val="0"/>
              <w:keepLines w:val="0"/>
              <w:pageBreakBefore w:val="0"/>
              <w:widowControl w:val="0"/>
              <w:kinsoku w:val="0"/>
              <w:wordWrap/>
              <w:overflowPunct/>
              <w:topLinePunct w:val="0"/>
              <w:autoSpaceDE w:val="0"/>
              <w:autoSpaceDN w:val="0"/>
              <w:bidi w:val="0"/>
              <w:adjustRightInd w:val="0"/>
              <w:snapToGrid w:val="0"/>
              <w:spacing w:before="225" w:line="183" w:lineRule="auto"/>
              <w:ind w:left="265"/>
              <w:textAlignment w:val="baseline"/>
              <w:rPr>
                <w:sz w:val="23"/>
                <w:szCs w:val="23"/>
              </w:rPr>
            </w:pPr>
            <w:r>
              <w:rPr>
                <w:sz w:val="23"/>
                <w:szCs w:val="23"/>
              </w:rPr>
              <w:t>8</w:t>
            </w:r>
          </w:p>
        </w:tc>
        <w:tc>
          <w:tcPr>
            <w:tcW w:w="3186" w:type="dxa"/>
            <w:vAlign w:val="top"/>
          </w:tcPr>
          <w:p w14:paraId="71D944E7">
            <w:pPr>
              <w:pStyle w:val="20"/>
              <w:keepNext w:val="0"/>
              <w:keepLines w:val="0"/>
              <w:pageBreakBefore w:val="0"/>
              <w:widowControl w:val="0"/>
              <w:kinsoku w:val="0"/>
              <w:wordWrap/>
              <w:overflowPunct/>
              <w:topLinePunct w:val="0"/>
              <w:autoSpaceDE w:val="0"/>
              <w:autoSpaceDN w:val="0"/>
              <w:bidi w:val="0"/>
              <w:adjustRightInd w:val="0"/>
              <w:snapToGrid w:val="0"/>
              <w:spacing w:before="66" w:line="194" w:lineRule="auto"/>
              <w:ind w:left="861" w:hanging="851"/>
              <w:textAlignment w:val="baseline"/>
              <w:rPr>
                <w:sz w:val="22"/>
                <w:szCs w:val="22"/>
              </w:rPr>
            </w:pPr>
            <w:r>
              <w:rPr>
                <w:spacing w:val="-9"/>
                <w:sz w:val="22"/>
                <w:szCs w:val="22"/>
              </w:rPr>
              <w:t>除四害消杀，蚁类、蜂、蛇防治，</w:t>
            </w:r>
            <w:r>
              <w:rPr>
                <w:spacing w:val="4"/>
                <w:sz w:val="22"/>
                <w:szCs w:val="22"/>
              </w:rPr>
              <w:t>防疫消毒情况</w:t>
            </w:r>
          </w:p>
        </w:tc>
        <w:tc>
          <w:tcPr>
            <w:tcW w:w="4540" w:type="dxa"/>
            <w:vAlign w:val="top"/>
          </w:tcPr>
          <w:p w14:paraId="782CFD55">
            <w:pPr>
              <w:pStyle w:val="20"/>
              <w:keepNext w:val="0"/>
              <w:keepLines w:val="0"/>
              <w:pageBreakBefore w:val="0"/>
              <w:widowControl w:val="0"/>
              <w:kinsoku w:val="0"/>
              <w:wordWrap/>
              <w:overflowPunct/>
              <w:topLinePunct w:val="0"/>
              <w:autoSpaceDE w:val="0"/>
              <w:autoSpaceDN w:val="0"/>
              <w:bidi w:val="0"/>
              <w:adjustRightInd w:val="0"/>
              <w:snapToGrid w:val="0"/>
              <w:spacing w:before="176" w:line="226" w:lineRule="auto"/>
              <w:ind w:left="274"/>
              <w:textAlignment w:val="baseline"/>
              <w:rPr>
                <w:sz w:val="23"/>
                <w:szCs w:val="23"/>
              </w:rPr>
            </w:pPr>
            <w:r>
              <w:rPr>
                <w:spacing w:val="5"/>
                <w:sz w:val="23"/>
                <w:szCs w:val="23"/>
              </w:rPr>
              <w:t>满意()基本满意()不满意()</w:t>
            </w:r>
          </w:p>
        </w:tc>
      </w:tr>
      <w:tr w14:paraId="5CF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74" w:type="dxa"/>
            <w:vAlign w:val="top"/>
          </w:tcPr>
          <w:p w14:paraId="539C418B">
            <w:pPr>
              <w:pStyle w:val="20"/>
              <w:keepNext w:val="0"/>
              <w:keepLines w:val="0"/>
              <w:pageBreakBefore w:val="0"/>
              <w:widowControl w:val="0"/>
              <w:kinsoku w:val="0"/>
              <w:wordWrap/>
              <w:overflowPunct/>
              <w:topLinePunct w:val="0"/>
              <w:autoSpaceDE w:val="0"/>
              <w:autoSpaceDN w:val="0"/>
              <w:bidi w:val="0"/>
              <w:adjustRightInd w:val="0"/>
              <w:snapToGrid w:val="0"/>
              <w:spacing w:before="226" w:line="183" w:lineRule="auto"/>
              <w:ind w:left="265"/>
              <w:textAlignment w:val="baseline"/>
              <w:rPr>
                <w:sz w:val="23"/>
                <w:szCs w:val="23"/>
              </w:rPr>
            </w:pPr>
            <w:r>
              <w:rPr>
                <w:sz w:val="23"/>
                <w:szCs w:val="23"/>
              </w:rPr>
              <w:t>9</w:t>
            </w:r>
          </w:p>
        </w:tc>
        <w:tc>
          <w:tcPr>
            <w:tcW w:w="3186" w:type="dxa"/>
            <w:vAlign w:val="top"/>
          </w:tcPr>
          <w:p w14:paraId="350C0B8F">
            <w:pPr>
              <w:pStyle w:val="20"/>
              <w:keepNext w:val="0"/>
              <w:keepLines w:val="0"/>
              <w:pageBreakBefore w:val="0"/>
              <w:widowControl w:val="0"/>
              <w:kinsoku w:val="0"/>
              <w:wordWrap/>
              <w:overflowPunct/>
              <w:topLinePunct w:val="0"/>
              <w:autoSpaceDE w:val="0"/>
              <w:autoSpaceDN w:val="0"/>
              <w:bidi w:val="0"/>
              <w:adjustRightInd w:val="0"/>
              <w:snapToGrid w:val="0"/>
              <w:spacing w:before="168" w:line="220" w:lineRule="auto"/>
              <w:ind w:left="320"/>
              <w:textAlignment w:val="baseline"/>
              <w:rPr>
                <w:sz w:val="23"/>
                <w:szCs w:val="23"/>
              </w:rPr>
            </w:pPr>
            <w:r>
              <w:rPr>
                <w:spacing w:val="1"/>
                <w:sz w:val="23"/>
                <w:szCs w:val="23"/>
              </w:rPr>
              <w:t>学校重大活动的配合工作</w:t>
            </w:r>
          </w:p>
        </w:tc>
        <w:tc>
          <w:tcPr>
            <w:tcW w:w="4540" w:type="dxa"/>
            <w:vAlign w:val="top"/>
          </w:tcPr>
          <w:p w14:paraId="580D7634">
            <w:pPr>
              <w:pStyle w:val="20"/>
              <w:keepNext w:val="0"/>
              <w:keepLines w:val="0"/>
              <w:pageBreakBefore w:val="0"/>
              <w:widowControl w:val="0"/>
              <w:kinsoku w:val="0"/>
              <w:wordWrap/>
              <w:overflowPunct/>
              <w:topLinePunct w:val="0"/>
              <w:autoSpaceDE w:val="0"/>
              <w:autoSpaceDN w:val="0"/>
              <w:bidi w:val="0"/>
              <w:adjustRightInd w:val="0"/>
              <w:snapToGrid w:val="0"/>
              <w:spacing w:before="176" w:line="227" w:lineRule="auto"/>
              <w:ind w:left="265"/>
              <w:textAlignment w:val="baseline"/>
              <w:rPr>
                <w:sz w:val="23"/>
                <w:szCs w:val="23"/>
              </w:rPr>
            </w:pPr>
            <w:r>
              <w:rPr>
                <w:spacing w:val="5"/>
                <w:sz w:val="23"/>
                <w:szCs w:val="23"/>
              </w:rPr>
              <w:t>满意()基本满意()不满意()</w:t>
            </w:r>
          </w:p>
        </w:tc>
      </w:tr>
      <w:tr w14:paraId="7E8B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74" w:type="dxa"/>
            <w:vAlign w:val="top"/>
          </w:tcPr>
          <w:p w14:paraId="500357F4">
            <w:pPr>
              <w:pStyle w:val="20"/>
              <w:keepNext w:val="0"/>
              <w:keepLines w:val="0"/>
              <w:pageBreakBefore w:val="0"/>
              <w:widowControl w:val="0"/>
              <w:kinsoku w:val="0"/>
              <w:wordWrap/>
              <w:overflowPunct/>
              <w:topLinePunct w:val="0"/>
              <w:autoSpaceDE w:val="0"/>
              <w:autoSpaceDN w:val="0"/>
              <w:bidi w:val="0"/>
              <w:adjustRightInd w:val="0"/>
              <w:snapToGrid w:val="0"/>
              <w:spacing w:before="216" w:line="184" w:lineRule="auto"/>
              <w:ind w:left="214"/>
              <w:textAlignment w:val="baseline"/>
              <w:rPr>
                <w:sz w:val="23"/>
                <w:szCs w:val="23"/>
              </w:rPr>
            </w:pPr>
            <w:r>
              <w:rPr>
                <w:spacing w:val="-7"/>
                <w:sz w:val="23"/>
                <w:szCs w:val="23"/>
              </w:rPr>
              <w:t>10</w:t>
            </w:r>
          </w:p>
        </w:tc>
        <w:tc>
          <w:tcPr>
            <w:tcW w:w="3186" w:type="dxa"/>
            <w:vAlign w:val="top"/>
          </w:tcPr>
          <w:p w14:paraId="5907F43B">
            <w:pPr>
              <w:pStyle w:val="20"/>
              <w:keepNext w:val="0"/>
              <w:keepLines w:val="0"/>
              <w:pageBreakBefore w:val="0"/>
              <w:widowControl w:val="0"/>
              <w:kinsoku w:val="0"/>
              <w:wordWrap/>
              <w:overflowPunct/>
              <w:topLinePunct w:val="0"/>
              <w:autoSpaceDE w:val="0"/>
              <w:autoSpaceDN w:val="0"/>
              <w:bidi w:val="0"/>
              <w:adjustRightInd w:val="0"/>
              <w:snapToGrid w:val="0"/>
              <w:spacing w:before="158" w:line="219" w:lineRule="auto"/>
              <w:ind w:left="890"/>
              <w:textAlignment w:val="baseline"/>
              <w:rPr>
                <w:sz w:val="23"/>
                <w:szCs w:val="23"/>
              </w:rPr>
            </w:pPr>
            <w:r>
              <w:rPr>
                <w:spacing w:val="1"/>
                <w:sz w:val="23"/>
                <w:szCs w:val="23"/>
              </w:rPr>
              <w:t>水电维护情况</w:t>
            </w:r>
          </w:p>
        </w:tc>
        <w:tc>
          <w:tcPr>
            <w:tcW w:w="4540" w:type="dxa"/>
            <w:vAlign w:val="top"/>
          </w:tcPr>
          <w:p w14:paraId="7331B833">
            <w:pPr>
              <w:pStyle w:val="20"/>
              <w:keepNext w:val="0"/>
              <w:keepLines w:val="0"/>
              <w:pageBreakBefore w:val="0"/>
              <w:widowControl w:val="0"/>
              <w:kinsoku w:val="0"/>
              <w:wordWrap/>
              <w:overflowPunct/>
              <w:topLinePunct w:val="0"/>
              <w:autoSpaceDE w:val="0"/>
              <w:autoSpaceDN w:val="0"/>
              <w:bidi w:val="0"/>
              <w:adjustRightInd w:val="0"/>
              <w:snapToGrid w:val="0"/>
              <w:spacing w:before="157" w:line="219" w:lineRule="auto"/>
              <w:ind w:left="265"/>
              <w:textAlignment w:val="baseline"/>
              <w:rPr>
                <w:sz w:val="23"/>
                <w:szCs w:val="23"/>
              </w:rPr>
            </w:pPr>
            <w:r>
              <w:rPr>
                <w:spacing w:val="1"/>
                <w:sz w:val="23"/>
                <w:szCs w:val="23"/>
              </w:rPr>
              <w:t>满意()基本满意()不满意()</w:t>
            </w:r>
          </w:p>
        </w:tc>
      </w:tr>
      <w:tr w14:paraId="4BA5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jc w:val="center"/>
        </w:trPr>
        <w:tc>
          <w:tcPr>
            <w:tcW w:w="674" w:type="dxa"/>
            <w:vAlign w:val="top"/>
          </w:tcPr>
          <w:p w14:paraId="26DD2911">
            <w:pPr>
              <w:pStyle w:val="20"/>
              <w:keepNext w:val="0"/>
              <w:keepLines w:val="0"/>
              <w:pageBreakBefore w:val="0"/>
              <w:widowControl w:val="0"/>
              <w:kinsoku w:val="0"/>
              <w:wordWrap/>
              <w:overflowPunct/>
              <w:topLinePunct w:val="0"/>
              <w:autoSpaceDE w:val="0"/>
              <w:autoSpaceDN w:val="0"/>
              <w:bidi w:val="0"/>
              <w:adjustRightInd w:val="0"/>
              <w:snapToGrid w:val="0"/>
              <w:spacing w:before="109" w:line="221" w:lineRule="auto"/>
              <w:ind w:left="94"/>
              <w:textAlignment w:val="baseline"/>
              <w:rPr>
                <w:sz w:val="23"/>
                <w:szCs w:val="23"/>
              </w:rPr>
            </w:pPr>
            <w:r>
              <w:rPr>
                <w:spacing w:val="8"/>
                <w:sz w:val="23"/>
                <w:szCs w:val="23"/>
              </w:rPr>
              <w:t>其它</w:t>
            </w:r>
          </w:p>
          <w:p w14:paraId="30EA1FFC">
            <w:pPr>
              <w:pStyle w:val="20"/>
              <w:keepNext w:val="0"/>
              <w:keepLines w:val="0"/>
              <w:pageBreakBefore w:val="0"/>
              <w:widowControl w:val="0"/>
              <w:kinsoku w:val="0"/>
              <w:wordWrap/>
              <w:overflowPunct/>
              <w:topLinePunct w:val="0"/>
              <w:autoSpaceDE w:val="0"/>
              <w:autoSpaceDN w:val="0"/>
              <w:bidi w:val="0"/>
              <w:adjustRightInd w:val="0"/>
              <w:snapToGrid w:val="0"/>
              <w:spacing w:before="143" w:line="219" w:lineRule="auto"/>
              <w:ind w:left="94"/>
              <w:textAlignment w:val="baseline"/>
              <w:rPr>
                <w:sz w:val="23"/>
                <w:szCs w:val="23"/>
              </w:rPr>
            </w:pPr>
            <w:r>
              <w:rPr>
                <w:spacing w:val="5"/>
                <w:sz w:val="23"/>
                <w:szCs w:val="23"/>
              </w:rPr>
              <w:t>意见</w:t>
            </w:r>
          </w:p>
          <w:p w14:paraId="7423576A">
            <w:pPr>
              <w:pStyle w:val="20"/>
              <w:keepNext w:val="0"/>
              <w:keepLines w:val="0"/>
              <w:pageBreakBefore w:val="0"/>
              <w:widowControl w:val="0"/>
              <w:kinsoku w:val="0"/>
              <w:wordWrap/>
              <w:overflowPunct/>
              <w:topLinePunct w:val="0"/>
              <w:autoSpaceDE w:val="0"/>
              <w:autoSpaceDN w:val="0"/>
              <w:bidi w:val="0"/>
              <w:adjustRightInd w:val="0"/>
              <w:snapToGrid w:val="0"/>
              <w:spacing w:before="138" w:line="221" w:lineRule="auto"/>
              <w:ind w:left="94"/>
              <w:textAlignment w:val="baseline"/>
              <w:rPr>
                <w:sz w:val="23"/>
                <w:szCs w:val="23"/>
              </w:rPr>
            </w:pPr>
            <w:r>
              <w:rPr>
                <w:spacing w:val="-3"/>
                <w:sz w:val="23"/>
                <w:szCs w:val="23"/>
              </w:rPr>
              <w:t>和建</w:t>
            </w:r>
          </w:p>
          <w:p w14:paraId="186F3B6F">
            <w:pPr>
              <w:pStyle w:val="20"/>
              <w:keepNext w:val="0"/>
              <w:keepLines w:val="0"/>
              <w:pageBreakBefore w:val="0"/>
              <w:widowControl w:val="0"/>
              <w:kinsoku w:val="0"/>
              <w:wordWrap/>
              <w:overflowPunct/>
              <w:topLinePunct w:val="0"/>
              <w:autoSpaceDE w:val="0"/>
              <w:autoSpaceDN w:val="0"/>
              <w:bidi w:val="0"/>
              <w:adjustRightInd w:val="0"/>
              <w:snapToGrid w:val="0"/>
              <w:spacing w:before="133" w:line="212" w:lineRule="auto"/>
              <w:ind w:left="214"/>
              <w:textAlignment w:val="baseline"/>
              <w:rPr>
                <w:sz w:val="23"/>
                <w:szCs w:val="23"/>
              </w:rPr>
            </w:pPr>
            <w:r>
              <w:rPr>
                <w:sz w:val="23"/>
                <w:szCs w:val="23"/>
              </w:rPr>
              <w:t>议</w:t>
            </w:r>
          </w:p>
        </w:tc>
        <w:tc>
          <w:tcPr>
            <w:tcW w:w="7726" w:type="dxa"/>
            <w:gridSpan w:val="2"/>
            <w:vAlign w:val="top"/>
          </w:tcPr>
          <w:p w14:paraId="03279BC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r>
    </w:tbl>
    <w:p w14:paraId="183DB6A2">
      <w:pPr>
        <w:pStyle w:val="5"/>
        <w:keepNext w:val="0"/>
        <w:keepLines w:val="0"/>
        <w:pageBreakBefore w:val="0"/>
        <w:widowControl w:val="0"/>
        <w:kinsoku w:val="0"/>
        <w:wordWrap/>
        <w:overflowPunct/>
        <w:topLinePunct w:val="0"/>
        <w:autoSpaceDE w:val="0"/>
        <w:autoSpaceDN w:val="0"/>
        <w:bidi w:val="0"/>
        <w:adjustRightInd w:val="0"/>
        <w:snapToGrid w:val="0"/>
        <w:spacing w:line="240" w:lineRule="auto"/>
        <w:ind w:right="0"/>
        <w:textAlignment w:val="baseline"/>
        <w:rPr>
          <w:spacing w:val="-1"/>
          <w:sz w:val="24"/>
          <w:szCs w:val="24"/>
        </w:rPr>
      </w:pPr>
    </w:p>
    <w:p w14:paraId="66EC64F0">
      <w:pPr>
        <w:bidi w:val="0"/>
        <w:jc w:val="left"/>
        <w:rPr>
          <w:rFonts w:hint="eastAsia" w:ascii="宋体" w:hAnsi="宋体" w:cs="Tahoma"/>
          <w:b/>
          <w:kern w:val="28"/>
          <w:sz w:val="24"/>
        </w:rPr>
      </w:pPr>
    </w:p>
    <w:p w14:paraId="505CE198">
      <w:pPr>
        <w:bidi w:val="0"/>
        <w:jc w:val="left"/>
        <w:rPr>
          <w:rFonts w:hint="eastAsia" w:ascii="宋体" w:hAnsi="宋体" w:cs="Tahoma"/>
          <w:b/>
          <w:kern w:val="28"/>
          <w:sz w:val="24"/>
        </w:rPr>
      </w:pPr>
    </w:p>
    <w:p w14:paraId="5709064A">
      <w:pPr>
        <w:bidi w:val="0"/>
        <w:jc w:val="left"/>
        <w:rPr>
          <w:rFonts w:hint="eastAsia" w:ascii="宋体" w:hAnsi="宋体" w:cs="Tahoma"/>
          <w:b/>
          <w:kern w:val="28"/>
          <w:sz w:val="24"/>
        </w:rPr>
      </w:pPr>
    </w:p>
    <w:p w14:paraId="3214AAA8">
      <w:pPr>
        <w:bidi w:val="0"/>
        <w:jc w:val="left"/>
        <w:rPr>
          <w:rFonts w:hint="eastAsia" w:ascii="宋体" w:hAnsi="宋体" w:cs="Tahoma"/>
          <w:b/>
          <w:kern w:val="28"/>
          <w:sz w:val="24"/>
        </w:rPr>
      </w:pPr>
    </w:p>
    <w:p w14:paraId="3FA34594">
      <w:pPr>
        <w:bidi w:val="0"/>
        <w:jc w:val="left"/>
        <w:rPr>
          <w:rFonts w:hint="eastAsia" w:ascii="宋体" w:hAnsi="宋体" w:cs="Tahoma"/>
          <w:b/>
          <w:kern w:val="28"/>
          <w:sz w:val="24"/>
        </w:rPr>
      </w:pPr>
    </w:p>
    <w:p w14:paraId="1CD9F714">
      <w:pPr>
        <w:bidi w:val="0"/>
        <w:jc w:val="left"/>
        <w:rPr>
          <w:rFonts w:hint="eastAsia" w:ascii="宋体" w:hAnsi="宋体" w:cs="Tahoma"/>
          <w:b/>
          <w:kern w:val="28"/>
          <w:sz w:val="24"/>
        </w:rPr>
      </w:pPr>
    </w:p>
    <w:p w14:paraId="11784A60">
      <w:pPr>
        <w:bidi w:val="0"/>
        <w:jc w:val="left"/>
        <w:rPr>
          <w:rFonts w:hint="eastAsia" w:ascii="宋体" w:hAnsi="宋体" w:cs="Tahoma"/>
          <w:b/>
          <w:kern w:val="28"/>
          <w:sz w:val="24"/>
        </w:rPr>
      </w:pPr>
    </w:p>
    <w:p w14:paraId="77B492F2">
      <w:pPr>
        <w:bidi w:val="0"/>
        <w:jc w:val="left"/>
        <w:rPr>
          <w:rFonts w:hint="eastAsia" w:ascii="宋体" w:hAnsi="宋体" w:cs="Tahoma"/>
          <w:b/>
          <w:kern w:val="28"/>
          <w:sz w:val="24"/>
        </w:rPr>
      </w:pPr>
    </w:p>
    <w:p w14:paraId="72D83C4F">
      <w:pPr>
        <w:bidi w:val="0"/>
        <w:jc w:val="left"/>
        <w:rPr>
          <w:rFonts w:hint="eastAsia" w:ascii="宋体" w:hAnsi="宋体" w:cs="Tahoma"/>
          <w:b/>
          <w:kern w:val="28"/>
          <w:sz w:val="24"/>
        </w:rPr>
      </w:pPr>
    </w:p>
    <w:p w14:paraId="3774E428">
      <w:pPr>
        <w:bidi w:val="0"/>
        <w:jc w:val="left"/>
        <w:rPr>
          <w:rFonts w:hint="eastAsia" w:ascii="宋体" w:hAnsi="宋体" w:cs="Tahoma"/>
          <w:b/>
          <w:kern w:val="28"/>
          <w:sz w:val="24"/>
        </w:rPr>
      </w:pPr>
    </w:p>
    <w:p w14:paraId="2495D9C6">
      <w:pPr>
        <w:bidi w:val="0"/>
        <w:jc w:val="left"/>
        <w:rPr>
          <w:rFonts w:hint="eastAsia" w:ascii="宋体" w:hAnsi="宋体" w:cs="Tahoma"/>
          <w:b/>
          <w:kern w:val="28"/>
          <w:sz w:val="24"/>
        </w:rPr>
      </w:pPr>
    </w:p>
    <w:p w14:paraId="48F5949E">
      <w:pPr>
        <w:bidi w:val="0"/>
        <w:jc w:val="left"/>
        <w:rPr>
          <w:rFonts w:hint="eastAsia" w:ascii="宋体" w:hAnsi="宋体" w:cs="Tahoma"/>
          <w:b/>
          <w:kern w:val="28"/>
          <w:sz w:val="24"/>
        </w:rPr>
      </w:pPr>
    </w:p>
    <w:p w14:paraId="198C391F">
      <w:pPr>
        <w:bidi w:val="0"/>
        <w:jc w:val="left"/>
        <w:rPr>
          <w:rFonts w:hint="eastAsia" w:ascii="宋体" w:hAnsi="宋体" w:cs="Tahoma"/>
          <w:b/>
          <w:kern w:val="28"/>
          <w:sz w:val="24"/>
        </w:rPr>
      </w:pPr>
    </w:p>
    <w:p w14:paraId="42B50BBB">
      <w:pPr>
        <w:bidi w:val="0"/>
        <w:jc w:val="left"/>
        <w:rPr>
          <w:rFonts w:hint="eastAsia" w:ascii="宋体" w:hAnsi="宋体" w:cs="Tahoma"/>
          <w:b/>
          <w:kern w:val="28"/>
          <w:sz w:val="24"/>
        </w:rPr>
      </w:pPr>
    </w:p>
    <w:p w14:paraId="0DB14B24">
      <w:pPr>
        <w:bidi w:val="0"/>
        <w:jc w:val="left"/>
        <w:rPr>
          <w:rFonts w:hint="eastAsia" w:ascii="宋体" w:hAnsi="宋体" w:cs="Tahoma"/>
          <w:b/>
          <w:kern w:val="28"/>
          <w:sz w:val="24"/>
        </w:rPr>
      </w:pPr>
    </w:p>
    <w:p w14:paraId="69066B16">
      <w:pPr>
        <w:bidi w:val="0"/>
        <w:jc w:val="left"/>
        <w:rPr>
          <w:rFonts w:ascii="宋体" w:hAnsi="宋体" w:cs="Tahoma"/>
          <w:b/>
          <w:kern w:val="28"/>
          <w:sz w:val="24"/>
        </w:rPr>
      </w:pPr>
      <w:r>
        <w:rPr>
          <w:rFonts w:hint="eastAsia" w:ascii="宋体" w:hAnsi="宋体" w:cs="Tahoma"/>
          <w:b/>
          <w:kern w:val="28"/>
          <w:sz w:val="24"/>
        </w:rPr>
        <w:t>报价文件格式</w:t>
      </w:r>
    </w:p>
    <w:p w14:paraId="5E3B5990">
      <w:pPr>
        <w:spacing w:line="360" w:lineRule="auto"/>
        <w:jc w:val="center"/>
        <w:rPr>
          <w:rFonts w:ascii="宋体" w:hAnsi="宋体" w:cs="Tahoma"/>
          <w:b/>
          <w:kern w:val="28"/>
          <w:sz w:val="30"/>
          <w:szCs w:val="30"/>
        </w:rPr>
      </w:pPr>
      <w:r>
        <w:rPr>
          <w:rFonts w:hint="eastAsia" w:ascii="宋体" w:hAnsi="宋体" w:cs="Tahoma"/>
          <w:b/>
          <w:kern w:val="28"/>
          <w:sz w:val="30"/>
          <w:szCs w:val="30"/>
        </w:rPr>
        <w:t>报 价 函</w:t>
      </w:r>
    </w:p>
    <w:p w14:paraId="63317690">
      <w:pPr>
        <w:shd w:val="clear" w:color="auto" w:fill="FFFFFF"/>
        <w:spacing w:line="360" w:lineRule="auto"/>
        <w:rPr>
          <w:rFonts w:ascii="宋体" w:hAnsi="宋体" w:cs="Tahoma"/>
          <w:kern w:val="28"/>
          <w:sz w:val="24"/>
        </w:rPr>
      </w:pPr>
      <w:r>
        <w:rPr>
          <w:rFonts w:hint="eastAsia" w:ascii="宋体" w:hAnsi="宋体" w:cs="Tahoma"/>
          <w:kern w:val="28"/>
          <w:sz w:val="24"/>
        </w:rPr>
        <w:t>广东省粤东技师学院：</w:t>
      </w:r>
    </w:p>
    <w:p w14:paraId="36A94538">
      <w:pPr>
        <w:shd w:val="clear" w:color="auto" w:fill="FFFFFF"/>
        <w:spacing w:line="360" w:lineRule="auto"/>
        <w:ind w:firstLine="480"/>
        <w:rPr>
          <w:rFonts w:ascii="宋体" w:hAnsi="宋体" w:cs="Tahoma"/>
          <w:kern w:val="28"/>
          <w:sz w:val="24"/>
        </w:rPr>
      </w:pPr>
      <w:r>
        <w:rPr>
          <w:rFonts w:hint="eastAsia" w:ascii="宋体" w:hAnsi="宋体" w:cs="Tahoma"/>
          <w:kern w:val="28"/>
          <w:sz w:val="24"/>
        </w:rPr>
        <w:t>我方己仔细研究了</w:t>
      </w:r>
      <w:r>
        <w:rPr>
          <w:rFonts w:hint="eastAsia" w:ascii="宋体" w:hAnsi="宋体" w:cs="Tahoma"/>
          <w:kern w:val="28"/>
          <w:sz w:val="24"/>
          <w:u w:val="single"/>
        </w:rPr>
        <w:t xml:space="preserve">                                 </w:t>
      </w:r>
      <w:r>
        <w:rPr>
          <w:rFonts w:hint="eastAsia" w:ascii="宋体" w:hAnsi="宋体" w:cs="Tahoma"/>
          <w:kern w:val="28"/>
          <w:sz w:val="24"/>
        </w:rPr>
        <w:t xml:space="preserve"> (采购编号：</w:t>
      </w:r>
      <w:r>
        <w:rPr>
          <w:rFonts w:ascii="宋体" w:hAnsi="宋体" w:cs="Tahoma"/>
          <w:kern w:val="28"/>
          <w:sz w:val="24"/>
          <w:u w:val="single"/>
        </w:rPr>
        <w:t xml:space="preserve">             </w:t>
      </w:r>
      <w:r>
        <w:rPr>
          <w:rFonts w:hint="eastAsia" w:ascii="宋体" w:hAnsi="宋体" w:cs="Tahoma"/>
          <w:kern w:val="28"/>
          <w:sz w:val="24"/>
          <w:u w:val="single"/>
        </w:rPr>
        <w:t>)</w:t>
      </w:r>
      <w:r>
        <w:rPr>
          <w:rFonts w:hint="eastAsia" w:ascii="宋体" w:hAnsi="宋体" w:cs="Tahoma"/>
          <w:kern w:val="28"/>
          <w:sz w:val="24"/>
        </w:rPr>
        <w:t>项目招标文件的全部内容，愿意以人民币（大写）</w:t>
      </w:r>
      <w:r>
        <w:rPr>
          <w:rFonts w:hint="eastAsia" w:ascii="宋体" w:hAnsi="宋体" w:cs="Tahoma"/>
          <w:kern w:val="28"/>
          <w:sz w:val="24"/>
          <w:u w:val="single"/>
        </w:rPr>
        <w:t xml:space="preserve">              </w:t>
      </w:r>
      <w:r>
        <w:rPr>
          <w:rFonts w:hint="eastAsia" w:ascii="宋体" w:hAnsi="宋体" w:cs="Tahoma"/>
          <w:kern w:val="28"/>
          <w:sz w:val="24"/>
        </w:rPr>
        <w:t>（￥</w:t>
      </w:r>
      <w:r>
        <w:rPr>
          <w:rFonts w:hint="eastAsia" w:ascii="宋体" w:hAnsi="宋体" w:cs="Tahoma"/>
          <w:kern w:val="28"/>
          <w:sz w:val="24"/>
          <w:u w:val="single"/>
        </w:rPr>
        <w:t xml:space="preserve">      </w:t>
      </w:r>
      <w:r>
        <w:rPr>
          <w:rFonts w:hint="eastAsia" w:ascii="宋体" w:hAnsi="宋体" w:cs="Tahoma"/>
          <w:kern w:val="28"/>
          <w:sz w:val="24"/>
        </w:rPr>
        <w:t>元）作为本项目总价（含税）。</w:t>
      </w:r>
    </w:p>
    <w:p w14:paraId="533A1002">
      <w:pPr>
        <w:pStyle w:val="4"/>
      </w:pPr>
    </w:p>
    <w:p w14:paraId="31E4F7E1">
      <w:pPr>
        <w:shd w:val="clear" w:color="auto" w:fill="FFFFFF"/>
        <w:spacing w:line="400" w:lineRule="exact"/>
        <w:rPr>
          <w:rFonts w:ascii="宋体" w:hAnsi="宋体" w:cs="宋体"/>
          <w:sz w:val="24"/>
        </w:rPr>
      </w:pPr>
    </w:p>
    <w:p w14:paraId="39C4AA64">
      <w:pPr>
        <w:shd w:val="clear" w:color="auto" w:fill="FFFFFF"/>
        <w:spacing w:line="400" w:lineRule="exact"/>
        <w:rPr>
          <w:rFonts w:ascii="宋体" w:hAnsi="宋体" w:cs="宋体"/>
          <w:sz w:val="24"/>
        </w:rPr>
      </w:pPr>
    </w:p>
    <w:p w14:paraId="56940E14">
      <w:pPr>
        <w:shd w:val="clear" w:color="auto" w:fill="FFFFFF"/>
        <w:spacing w:line="400" w:lineRule="exact"/>
        <w:rPr>
          <w:rFonts w:ascii="宋体"/>
          <w:sz w:val="24"/>
        </w:rPr>
      </w:pPr>
      <w:r>
        <w:rPr>
          <w:rFonts w:hint="eastAsia" w:ascii="宋体" w:hAnsi="宋体" w:cs="宋体"/>
          <w:sz w:val="24"/>
        </w:rPr>
        <w:t>在此，我方声明如下：</w:t>
      </w:r>
    </w:p>
    <w:p w14:paraId="248A7743">
      <w:pPr>
        <w:shd w:val="clear" w:color="auto" w:fill="FFFFFF"/>
        <w:spacing w:line="400" w:lineRule="exact"/>
        <w:rPr>
          <w:rFonts w:ascii="宋体"/>
          <w:sz w:val="24"/>
        </w:rPr>
      </w:pPr>
      <w:r>
        <w:rPr>
          <w:rFonts w:ascii="宋体" w:hAnsi="宋体" w:cs="宋体"/>
          <w:sz w:val="24"/>
        </w:rPr>
        <w:t>1.</w:t>
      </w:r>
      <w:r>
        <w:rPr>
          <w:rFonts w:hint="eastAsia" w:ascii="宋体" w:hAnsi="宋体" w:cs="宋体"/>
          <w:sz w:val="24"/>
        </w:rPr>
        <w:t>同意并接受采购文件的各项要求，遵守采购文件中的各项规定，按采购文件的要求提供报价。</w:t>
      </w:r>
    </w:p>
    <w:p w14:paraId="064CFAD1">
      <w:pPr>
        <w:shd w:val="clear" w:color="auto" w:fill="FFFFFF"/>
        <w:spacing w:line="400" w:lineRule="exact"/>
        <w:rPr>
          <w:rFonts w:ascii="宋体"/>
          <w:sz w:val="24"/>
        </w:rPr>
      </w:pPr>
      <w:r>
        <w:rPr>
          <w:rFonts w:ascii="宋体" w:hAnsi="宋体" w:cs="宋体"/>
          <w:sz w:val="24"/>
        </w:rPr>
        <w:t xml:space="preserve">2. </w:t>
      </w:r>
      <w:r>
        <w:rPr>
          <w:rFonts w:hint="eastAsia" w:ascii="宋体" w:hAnsi="宋体" w:cs="宋体"/>
          <w:sz w:val="24"/>
        </w:rPr>
        <w:t>我方如果成交，将保证履行招标文件中的全部责任和义务，按质、按量、按期完成。</w:t>
      </w:r>
    </w:p>
    <w:p w14:paraId="44779C64">
      <w:pPr>
        <w:shd w:val="clear" w:color="auto" w:fill="FFFFFF"/>
        <w:spacing w:line="400" w:lineRule="exact"/>
        <w:rPr>
          <w:rFonts w:ascii="宋体"/>
          <w:sz w:val="24"/>
        </w:rPr>
      </w:pPr>
      <w:r>
        <w:rPr>
          <w:rFonts w:ascii="宋体" w:hAnsi="宋体" w:cs="宋体"/>
          <w:sz w:val="24"/>
        </w:rPr>
        <w:t>3.</w:t>
      </w:r>
      <w:r>
        <w:rPr>
          <w:rFonts w:hint="eastAsia" w:ascii="宋体" w:hAnsi="宋体" w:cs="宋体"/>
          <w:sz w:val="24"/>
        </w:rPr>
        <w:t>我方承诺在本次报价响应中提供的一切文件，无论是原件还是复印件均为真实和准确的，绝无任何虚假、伪造和夸大的成份，否则，愿承担相应的后果和法律责任。</w:t>
      </w:r>
    </w:p>
    <w:p w14:paraId="49E2111B">
      <w:pPr>
        <w:shd w:val="clear" w:color="auto" w:fill="FFFFFF"/>
        <w:spacing w:line="400" w:lineRule="exact"/>
        <w:rPr>
          <w:rFonts w:ascii="宋体"/>
          <w:sz w:val="24"/>
        </w:rPr>
      </w:pPr>
      <w:r>
        <w:rPr>
          <w:rFonts w:ascii="宋体" w:hAnsi="宋体" w:cs="宋体"/>
          <w:sz w:val="24"/>
        </w:rPr>
        <w:t>4.</w:t>
      </w:r>
      <w:r>
        <w:rPr>
          <w:rFonts w:hint="eastAsia" w:ascii="宋体" w:hAnsi="宋体" w:cs="宋体"/>
          <w:sz w:val="24"/>
        </w:rPr>
        <w:t>我方完全服从和尊重学校评标委员会所作的评定结果。</w:t>
      </w:r>
    </w:p>
    <w:p w14:paraId="3C3D80CC">
      <w:pPr>
        <w:shd w:val="clear" w:color="auto" w:fill="FFFFFF"/>
        <w:spacing w:line="400" w:lineRule="exact"/>
        <w:ind w:right="33"/>
        <w:rPr>
          <w:rFonts w:ascii="宋体"/>
          <w:sz w:val="24"/>
        </w:rPr>
      </w:pPr>
      <w:r>
        <w:rPr>
          <w:rFonts w:hint="eastAsia" w:ascii="宋体" w:hAnsi="宋体" w:cs="宋体"/>
          <w:sz w:val="24"/>
        </w:rPr>
        <w:t>响应供应商名称</w:t>
      </w:r>
      <w:r>
        <w:rPr>
          <w:rFonts w:ascii="宋体" w:hAnsi="宋体" w:cs="宋体"/>
          <w:sz w:val="24"/>
        </w:rPr>
        <w:t>(</w:t>
      </w:r>
      <w:r>
        <w:rPr>
          <w:rFonts w:hint="eastAsia" w:ascii="宋体" w:hAnsi="宋体" w:cs="宋体"/>
          <w:sz w:val="24"/>
        </w:rPr>
        <w:t>公章</w:t>
      </w:r>
      <w:r>
        <w:rPr>
          <w:rFonts w:ascii="宋体" w:hAnsi="宋体" w:cs="宋体"/>
          <w:sz w:val="24"/>
        </w:rPr>
        <w:t>)</w:t>
      </w:r>
      <w:r>
        <w:rPr>
          <w:rFonts w:hint="eastAsia" w:ascii="宋体" w:hAnsi="宋体" w:cs="宋体"/>
          <w:sz w:val="24"/>
        </w:rPr>
        <w:t>：</w:t>
      </w:r>
      <w:r>
        <w:rPr>
          <w:rFonts w:ascii="宋体"/>
          <w:sz w:val="24"/>
          <w:u w:val="single"/>
        </w:rPr>
        <w:t>        </w:t>
      </w:r>
      <w:r>
        <w:rPr>
          <w:rFonts w:hint="eastAsia" w:ascii="宋体"/>
          <w:sz w:val="24"/>
          <w:u w:val="single"/>
        </w:rPr>
        <w:t xml:space="preserve">      </w:t>
      </w:r>
      <w:r>
        <w:rPr>
          <w:rFonts w:ascii="宋体"/>
          <w:sz w:val="24"/>
          <w:u w:val="single"/>
        </w:rPr>
        <w:t>    </w:t>
      </w:r>
      <w:r>
        <w:rPr>
          <w:rFonts w:hint="eastAsia" w:ascii="宋体"/>
          <w:sz w:val="24"/>
          <w:u w:val="single"/>
        </w:rPr>
        <w:t xml:space="preserve">                      </w:t>
      </w:r>
      <w:r>
        <w:rPr>
          <w:rFonts w:ascii="宋体"/>
          <w:sz w:val="24"/>
          <w:u w:val="single"/>
        </w:rPr>
        <w:t>    </w:t>
      </w:r>
      <w:r>
        <w:rPr>
          <w:rFonts w:ascii="宋体"/>
          <w:sz w:val="24"/>
        </w:rPr>
        <w:t> </w:t>
      </w:r>
      <w:r>
        <w:rPr>
          <w:rFonts w:hint="eastAsia" w:ascii="宋体"/>
          <w:sz w:val="24"/>
        </w:rPr>
        <w:t xml:space="preserve">   </w:t>
      </w:r>
    </w:p>
    <w:p w14:paraId="7F773502">
      <w:pPr>
        <w:shd w:val="clear" w:color="auto" w:fill="FFFFFF"/>
        <w:spacing w:line="400" w:lineRule="exact"/>
        <w:ind w:right="33"/>
        <w:rPr>
          <w:rFonts w:ascii="宋体"/>
          <w:sz w:val="24"/>
          <w:u w:val="single"/>
        </w:rPr>
      </w:pPr>
      <w:r>
        <w:rPr>
          <w:rFonts w:hint="eastAsia" w:ascii="宋体" w:hAnsi="宋体" w:cs="宋体"/>
          <w:sz w:val="24"/>
        </w:rPr>
        <w:t>地址：</w:t>
      </w:r>
      <w:r>
        <w:rPr>
          <w:rFonts w:ascii="宋体"/>
          <w:sz w:val="24"/>
          <w:u w:val="single"/>
        </w:rPr>
        <w:t>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ascii="宋体"/>
          <w:sz w:val="24"/>
          <w:u w:val="single"/>
        </w:rPr>
        <w:t>              </w:t>
      </w:r>
    </w:p>
    <w:p w14:paraId="62364795">
      <w:pPr>
        <w:shd w:val="clear" w:color="auto" w:fill="FFFFFF"/>
        <w:spacing w:line="400" w:lineRule="exact"/>
        <w:ind w:right="33"/>
        <w:rPr>
          <w:rFonts w:ascii="宋体"/>
          <w:sz w:val="24"/>
        </w:rPr>
      </w:pPr>
      <w:r>
        <w:rPr>
          <w:rFonts w:hint="eastAsia" w:ascii="宋体" w:hAnsi="宋体" w:cs="宋体"/>
          <w:sz w:val="24"/>
        </w:rPr>
        <w:t>电话：</w:t>
      </w:r>
      <w:r>
        <w:rPr>
          <w:rFonts w:ascii="宋体"/>
          <w:sz w:val="24"/>
          <w:u w:val="single"/>
        </w:rPr>
        <w:t>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5FEB80DA">
      <w:pPr>
        <w:shd w:val="clear" w:color="auto" w:fill="FFFFFF"/>
        <w:spacing w:line="400" w:lineRule="exact"/>
        <w:ind w:right="246"/>
        <w:rPr>
          <w:rFonts w:ascii="宋体"/>
          <w:sz w:val="24"/>
          <w:u w:val="single"/>
        </w:rPr>
      </w:pPr>
      <w:r>
        <w:rPr>
          <w:rFonts w:hint="eastAsia" w:ascii="宋体" w:hAnsi="宋体" w:cs="宋体"/>
          <w:sz w:val="24"/>
        </w:rPr>
        <w:t>响应供应商（法定代表人授权代表）代表签字：</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p>
    <w:p w14:paraId="7F7111A0">
      <w:pPr>
        <w:shd w:val="clear" w:color="auto" w:fill="FFFFFF"/>
        <w:spacing w:line="400" w:lineRule="exact"/>
        <w:ind w:right="246"/>
        <w:rPr>
          <w:rFonts w:ascii="宋体"/>
          <w:sz w:val="24"/>
          <w:u w:val="single"/>
        </w:rPr>
      </w:pPr>
      <w:r>
        <w:rPr>
          <w:rFonts w:hint="eastAsia" w:ascii="宋体" w:hAnsi="宋体" w:cs="宋体"/>
          <w:sz w:val="24"/>
        </w:rPr>
        <w:t>开户银行：</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r>
        <w:rPr>
          <w:rFonts w:ascii="宋体" w:hAnsi="宋体" w:cs="宋体"/>
          <w:sz w:val="24"/>
          <w:u w:val="single"/>
        </w:rPr>
        <w:t xml:space="preserve">  </w:t>
      </w:r>
      <w:r>
        <w:rPr>
          <w:rFonts w:ascii="宋体"/>
          <w:sz w:val="24"/>
          <w:u w:val="single"/>
        </w:rPr>
        <w:t>  </w:t>
      </w:r>
    </w:p>
    <w:p w14:paraId="68BA95B8">
      <w:pPr>
        <w:shd w:val="clear" w:color="auto" w:fill="FFFFFF"/>
        <w:spacing w:line="400" w:lineRule="exact"/>
        <w:ind w:right="246"/>
        <w:rPr>
          <w:rFonts w:ascii="宋体"/>
          <w:sz w:val="24"/>
        </w:rPr>
      </w:pPr>
      <w:r>
        <w:rPr>
          <w:rFonts w:hint="eastAsia" w:ascii="宋体" w:hAnsi="宋体" w:cs="宋体"/>
          <w:sz w:val="24"/>
        </w:rPr>
        <w:t>帐号：</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p>
    <w:p w14:paraId="15B5AB1E">
      <w:pPr>
        <w:rPr>
          <w:rFonts w:ascii="宋体" w:hAnsi="宋体" w:cs="Tahoma"/>
          <w:kern w:val="28"/>
          <w:sz w:val="24"/>
        </w:rPr>
      </w:pPr>
      <w:r>
        <w:rPr>
          <w:rFonts w:hint="eastAsia" w:ascii="宋体" w:hAnsi="宋体" w:cs="宋体"/>
          <w:sz w:val="24"/>
        </w:rPr>
        <w:t>日期：</w:t>
      </w:r>
      <w:r>
        <w:rPr>
          <w:rFonts w:ascii="宋体"/>
          <w:sz w:val="24"/>
          <w:u w:val="single"/>
        </w:rPr>
        <w:t>  </w:t>
      </w:r>
      <w:r>
        <w:rPr>
          <w:rFonts w:ascii="宋体" w:hAnsi="宋体" w:cs="宋体"/>
          <w:sz w:val="24"/>
          <w:u w:val="single"/>
        </w:rPr>
        <w:t xml:space="preserve">                                               </w:t>
      </w:r>
      <w:r>
        <w:rPr>
          <w:rFonts w:ascii="宋体"/>
          <w:sz w:val="24"/>
          <w:u w:val="single"/>
        </w:rPr>
        <w:t>       </w:t>
      </w:r>
    </w:p>
    <w:p w14:paraId="42BEC1F9">
      <w:pPr>
        <w:keepNext/>
        <w:keepLines/>
        <w:tabs>
          <w:tab w:val="left" w:pos="525"/>
        </w:tabs>
        <w:spacing w:before="260" w:after="260" w:line="360" w:lineRule="auto"/>
        <w:rPr>
          <w:rFonts w:ascii="宋体" w:hAnsi="宋体" w:cs="宋体"/>
          <w:b/>
          <w:bCs/>
          <w:sz w:val="32"/>
          <w:szCs w:val="32"/>
          <w:lang w:val="zh-CN"/>
        </w:rPr>
      </w:pPr>
      <w:bookmarkStart w:id="2" w:name="_Toc268515023"/>
      <w:r>
        <w:rPr>
          <w:rFonts w:hint="eastAsia" w:ascii="宋体" w:hAnsi="宋体" w:cs="宋体"/>
          <w:b/>
          <w:bCs/>
          <w:sz w:val="32"/>
          <w:szCs w:val="32"/>
          <w:lang w:val="zh-CN"/>
        </w:rPr>
        <w:br w:type="page"/>
      </w: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14:paraId="4EFD177B">
      <w:pPr>
        <w:spacing w:line="360" w:lineRule="auto"/>
        <w:rPr>
          <w:rFonts w:ascii="宋体" w:hAnsi="宋体" w:cs="宋体"/>
          <w:szCs w:val="21"/>
        </w:rPr>
      </w:pPr>
      <w:r>
        <w:rPr>
          <w:rFonts w:hint="eastAsia" w:ascii="宋体" w:hAnsi="宋体" w:cs="宋体"/>
          <w:szCs w:val="21"/>
        </w:rPr>
        <w:t>注：“信用中国”网站网址：www.creditchina.gov.cn；中国政府采购网网址：www.ccgp.gov.cn。</w:t>
      </w:r>
    </w:p>
    <w:p w14:paraId="185F1407">
      <w:pPr>
        <w:keepNext/>
        <w:keepLines/>
        <w:tabs>
          <w:tab w:val="left" w:pos="525"/>
        </w:tabs>
        <w:adjustRightInd w:val="0"/>
        <w:snapToGrid w:val="0"/>
        <w:spacing w:line="360" w:lineRule="auto"/>
        <w:ind w:left="527" w:hanging="527"/>
        <w:rPr>
          <w:rFonts w:ascii="宋体" w:hAnsi="宋体" w:cs="宋体"/>
          <w:b/>
          <w:bCs/>
          <w:sz w:val="32"/>
          <w:szCs w:val="32"/>
          <w:lang w:val="zh-CN"/>
        </w:rPr>
      </w:pPr>
    </w:p>
    <w:p w14:paraId="6AAAAB5B">
      <w:pPr>
        <w:pStyle w:val="2"/>
        <w:rPr>
          <w:rFonts w:ascii="宋体" w:hAnsi="宋体" w:cs="宋体"/>
          <w:lang w:val="zh-CN"/>
        </w:rPr>
      </w:pPr>
    </w:p>
    <w:p w14:paraId="6B5F21A6">
      <w:pPr>
        <w:rPr>
          <w:rFonts w:ascii="宋体" w:hAnsi="宋体" w:cs="宋体"/>
          <w:b/>
          <w:bCs/>
          <w:sz w:val="32"/>
          <w:szCs w:val="32"/>
          <w:lang w:val="zh-CN"/>
        </w:rPr>
      </w:pPr>
    </w:p>
    <w:p w14:paraId="53A3E638">
      <w:pPr>
        <w:pStyle w:val="2"/>
        <w:rPr>
          <w:rFonts w:ascii="宋体" w:hAnsi="宋体" w:cs="宋体"/>
          <w:lang w:val="zh-CN"/>
        </w:rPr>
      </w:pPr>
    </w:p>
    <w:p w14:paraId="7E79498C">
      <w:pPr>
        <w:rPr>
          <w:rFonts w:ascii="宋体" w:hAnsi="宋体" w:cs="宋体"/>
          <w:b/>
          <w:bCs/>
          <w:sz w:val="32"/>
          <w:szCs w:val="32"/>
          <w:lang w:val="zh-CN"/>
        </w:rPr>
      </w:pPr>
    </w:p>
    <w:p w14:paraId="0CB55D7A">
      <w:pPr>
        <w:pStyle w:val="2"/>
        <w:rPr>
          <w:rFonts w:ascii="宋体" w:hAnsi="宋体" w:cs="宋体"/>
          <w:lang w:val="zh-CN"/>
        </w:rPr>
      </w:pPr>
    </w:p>
    <w:p w14:paraId="58A6CCEC">
      <w:pPr>
        <w:rPr>
          <w:rFonts w:ascii="宋体" w:hAnsi="宋体" w:cs="宋体"/>
          <w:b/>
          <w:bCs/>
          <w:sz w:val="32"/>
          <w:szCs w:val="32"/>
          <w:lang w:val="zh-CN"/>
        </w:rPr>
      </w:pPr>
    </w:p>
    <w:p w14:paraId="1A9E2481">
      <w:pPr>
        <w:pStyle w:val="2"/>
        <w:rPr>
          <w:rFonts w:ascii="宋体" w:hAnsi="宋体" w:cs="宋体"/>
          <w:lang w:val="zh-CN"/>
        </w:rPr>
      </w:pPr>
    </w:p>
    <w:p w14:paraId="19F7D15E">
      <w:pPr>
        <w:rPr>
          <w:rFonts w:ascii="宋体" w:hAnsi="宋体" w:cs="宋体"/>
          <w:b/>
          <w:bCs/>
          <w:sz w:val="32"/>
          <w:szCs w:val="32"/>
          <w:lang w:val="zh-CN"/>
        </w:rPr>
      </w:pPr>
    </w:p>
    <w:p w14:paraId="2851DC78">
      <w:pPr>
        <w:pStyle w:val="2"/>
        <w:rPr>
          <w:rFonts w:ascii="宋体" w:hAnsi="宋体" w:cs="宋体"/>
          <w:lang w:val="zh-CN"/>
        </w:rPr>
      </w:pPr>
    </w:p>
    <w:p w14:paraId="79ADB516">
      <w:pPr>
        <w:rPr>
          <w:rFonts w:ascii="宋体" w:hAnsi="宋体" w:cs="宋体"/>
          <w:b/>
          <w:bCs/>
          <w:sz w:val="32"/>
          <w:szCs w:val="32"/>
          <w:lang w:val="zh-CN"/>
        </w:rPr>
      </w:pPr>
    </w:p>
    <w:p w14:paraId="4B33F5D8">
      <w:pPr>
        <w:pStyle w:val="2"/>
        <w:rPr>
          <w:rFonts w:ascii="宋体" w:hAnsi="宋体" w:cs="宋体"/>
          <w:lang w:val="zh-CN"/>
        </w:rPr>
      </w:pPr>
    </w:p>
    <w:p w14:paraId="257A7A5A">
      <w:pPr>
        <w:keepNext/>
        <w:keepLines/>
        <w:tabs>
          <w:tab w:val="left" w:pos="525"/>
        </w:tabs>
        <w:adjustRightInd w:val="0"/>
        <w:snapToGrid w:val="0"/>
        <w:spacing w:line="360" w:lineRule="auto"/>
        <w:rPr>
          <w:rFonts w:ascii="宋体" w:hAnsi="宋体" w:cs="宋体"/>
          <w:b/>
          <w:bCs/>
          <w:sz w:val="32"/>
          <w:szCs w:val="32"/>
          <w:lang w:val="zh-CN"/>
        </w:rPr>
      </w:pPr>
      <w:r>
        <w:rPr>
          <w:rFonts w:hint="eastAsia" w:ascii="宋体" w:hAnsi="宋体" w:cs="宋体"/>
          <w:b/>
          <w:bCs/>
          <w:sz w:val="32"/>
          <w:szCs w:val="32"/>
          <w:lang w:val="zh-CN"/>
        </w:rPr>
        <w:br w:type="page"/>
      </w: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14:paraId="05633518">
      <w:pPr>
        <w:rPr>
          <w:rFonts w:ascii="宋体" w:hAnsi="宋体" w:cs="宋体"/>
          <w:lang w:val="zh-CN"/>
        </w:rPr>
      </w:pPr>
    </w:p>
    <w:p w14:paraId="3811519F">
      <w:pPr>
        <w:autoSpaceDE w:val="0"/>
        <w:autoSpaceDN w:val="0"/>
        <w:adjustRightInd w:val="0"/>
        <w:snapToGrid w:val="0"/>
        <w:spacing w:line="288" w:lineRule="auto"/>
        <w:jc w:val="center"/>
        <w:rPr>
          <w:rFonts w:ascii="宋体" w:hAnsi="宋体" w:cs="宋体"/>
          <w:b/>
          <w:bCs/>
          <w:kern w:val="0"/>
          <w:sz w:val="32"/>
          <w:szCs w:val="32"/>
        </w:rPr>
      </w:pPr>
      <w:r>
        <w:rPr>
          <w:rFonts w:hint="eastAsia" w:ascii="宋体" w:hAnsi="宋体" w:cs="宋体"/>
          <w:b/>
          <w:bCs/>
          <w:kern w:val="0"/>
          <w:sz w:val="32"/>
          <w:szCs w:val="32"/>
        </w:rPr>
        <w:t>关于投标人资格的声明函</w:t>
      </w:r>
    </w:p>
    <w:p w14:paraId="4F25BE5C">
      <w:pPr>
        <w:autoSpaceDE w:val="0"/>
        <w:autoSpaceDN w:val="0"/>
        <w:adjustRightInd w:val="0"/>
        <w:snapToGrid w:val="0"/>
        <w:spacing w:line="408" w:lineRule="auto"/>
        <w:jc w:val="left"/>
        <w:rPr>
          <w:rFonts w:ascii="宋体" w:hAnsi="宋体" w:cs="宋体"/>
          <w:kern w:val="0"/>
          <w:sz w:val="13"/>
          <w:szCs w:val="13"/>
        </w:rPr>
      </w:pPr>
    </w:p>
    <w:p w14:paraId="54B7A3BA">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致采购人：</w:t>
      </w:r>
    </w:p>
    <w:p w14:paraId="25D4768C">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rPr>
        <w:t xml:space="preserve">                                        （采购编号：                ）</w:t>
      </w:r>
      <w:r>
        <w:rPr>
          <w:rFonts w:hint="eastAsia" w:ascii="宋体" w:hAnsi="宋体" w:cs="宋体"/>
          <w:kern w:val="0"/>
          <w:szCs w:val="21"/>
        </w:rPr>
        <w:t>”，我单位自愿参与本项目投标，同时声明：</w:t>
      </w:r>
    </w:p>
    <w:p w14:paraId="77214C4A">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70ACEC03">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0AC22B6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（一）具有独立承担民事责任的能力；</w:t>
      </w:r>
    </w:p>
    <w:p w14:paraId="21B1A32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（二）具有良好的商业信誉和健全的财务会计制度；</w:t>
      </w:r>
    </w:p>
    <w:p w14:paraId="6A16B0FF">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（三）具有履行合同所必需的设备和专业技术能力；</w:t>
      </w:r>
    </w:p>
    <w:p w14:paraId="60C61BA7">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（四）有依法缴纳税收和社会保障资金的良好记录；</w:t>
      </w:r>
    </w:p>
    <w:p w14:paraId="572F723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6E79EDC9">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（六）法律、行政法规规定的其他条件。</w:t>
      </w:r>
    </w:p>
    <w:p w14:paraId="7835B68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4AE97B26">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5C52891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（一）提供虚假材料谋取中标、成交的；</w:t>
      </w:r>
    </w:p>
    <w:p w14:paraId="4925664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（二）采取不正当手段诋毁、排挤其他供应商的；</w:t>
      </w:r>
    </w:p>
    <w:p w14:paraId="06F584F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（三）与采购人或其他供应商恶意串通的；</w:t>
      </w:r>
    </w:p>
    <w:p w14:paraId="44088AE5">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（四）向采购人行贿或者提供其他不正当利益的；</w:t>
      </w:r>
    </w:p>
    <w:p w14:paraId="366FE53A">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（五）在招标采购过程中与采购人进行协商谈判的；</w:t>
      </w:r>
    </w:p>
    <w:p w14:paraId="27F3AE1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（六）拒绝有关部门监督检查或者提供虚假情况的。</w:t>
      </w:r>
    </w:p>
    <w:p w14:paraId="14428B3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14:paraId="0E37A7F5">
      <w:pPr>
        <w:widowControl/>
        <w:jc w:val="left"/>
        <w:rPr>
          <w:rFonts w:ascii="宋体" w:hAnsi="宋体" w:cs="宋体"/>
          <w:sz w:val="15"/>
          <w:szCs w:val="15"/>
        </w:rPr>
      </w:pPr>
    </w:p>
    <w:p w14:paraId="396983B3">
      <w:pPr>
        <w:autoSpaceDE w:val="0"/>
        <w:autoSpaceDN w:val="0"/>
        <w:adjustRightInd w:val="0"/>
        <w:snapToGrid w:val="0"/>
        <w:spacing w:line="360" w:lineRule="auto"/>
        <w:ind w:firstLine="4678" w:firstLineChars="2228"/>
        <w:jc w:val="left"/>
        <w:rPr>
          <w:rFonts w:ascii="宋体" w:hAnsi="宋体" w:cs="宋体"/>
          <w:kern w:val="0"/>
          <w:szCs w:val="21"/>
        </w:rPr>
      </w:pPr>
    </w:p>
    <w:p w14:paraId="1DA4926A">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报价人（投标人公章）：</w:t>
      </w:r>
    </w:p>
    <w:p w14:paraId="2D109790">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法定代表人或授权代表（签字）：</w:t>
      </w:r>
    </w:p>
    <w:p w14:paraId="195B5A20">
      <w:pPr>
        <w:autoSpaceDE w:val="0"/>
        <w:autoSpaceDN w:val="0"/>
        <w:adjustRightInd w:val="0"/>
        <w:snapToGrid w:val="0"/>
        <w:spacing w:line="360" w:lineRule="auto"/>
        <w:ind w:firstLine="4678" w:firstLineChars="2228"/>
        <w:jc w:val="left"/>
        <w:rPr>
          <w:rFonts w:ascii="宋体" w:hAnsi="宋体"/>
          <w:b/>
          <w:sz w:val="24"/>
        </w:rPr>
      </w:pPr>
      <w:r>
        <w:rPr>
          <w:rFonts w:hint="eastAsia" w:ascii="宋体" w:hAnsi="宋体" w:cs="宋体"/>
          <w:kern w:val="0"/>
          <w:szCs w:val="21"/>
        </w:rPr>
        <w:t>日　期：      年    月    日</w:t>
      </w:r>
    </w:p>
    <w:p w14:paraId="0E2B2415">
      <w:pPr>
        <w:pStyle w:val="4"/>
        <w:ind w:firstLine="0"/>
        <w:rPr>
          <w:rFonts w:ascii="宋体" w:hAnsi="宋体"/>
          <w:sz w:val="24"/>
        </w:rPr>
      </w:pPr>
    </w:p>
    <w:sectPr>
      <w:headerReference r:id="rId3" w:type="default"/>
      <w:footerReference r:id="rId4" w:type="default"/>
      <w:footerReference r:id="rId5" w:type="even"/>
      <w:pgSz w:w="11906" w:h="16838"/>
      <w:pgMar w:top="1077" w:right="1134" w:bottom="96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ejaVuSans">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E752">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14:paraId="59DDB42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02E5">
    <w:pPr>
      <w:pStyle w:val="10"/>
      <w:framePr w:wrap="around" w:vAnchor="text" w:hAnchor="margin" w:xAlign="center" w:y="1"/>
      <w:rPr>
        <w:rStyle w:val="15"/>
      </w:rPr>
    </w:pPr>
    <w:r>
      <w:fldChar w:fldCharType="begin"/>
    </w:r>
    <w:r>
      <w:rPr>
        <w:rStyle w:val="15"/>
      </w:rPr>
      <w:instrText xml:space="preserve">PAGE  </w:instrText>
    </w:r>
    <w:r>
      <w:fldChar w:fldCharType="end"/>
    </w:r>
  </w:p>
  <w:p w14:paraId="3EC75D1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26D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609AC"/>
    <w:multiLevelType w:val="singleLevel"/>
    <w:tmpl w:val="825609AC"/>
    <w:lvl w:ilvl="0" w:tentative="0">
      <w:start w:val="1"/>
      <w:numFmt w:val="decimal"/>
      <w:lvlText w:val="%1."/>
      <w:lvlJc w:val="left"/>
      <w:pPr>
        <w:tabs>
          <w:tab w:val="left" w:pos="312"/>
        </w:tabs>
      </w:pPr>
    </w:lvl>
  </w:abstractNum>
  <w:abstractNum w:abstractNumId="1">
    <w:nsid w:val="A37303E2"/>
    <w:multiLevelType w:val="singleLevel"/>
    <w:tmpl w:val="A37303E2"/>
    <w:lvl w:ilvl="0" w:tentative="0">
      <w:start w:val="1"/>
      <w:numFmt w:val="decimal"/>
      <w:suff w:val="nothing"/>
      <w:lvlText w:val="（%1）"/>
      <w:lvlJc w:val="left"/>
    </w:lvl>
  </w:abstractNum>
  <w:abstractNum w:abstractNumId="2">
    <w:nsid w:val="B66AA1CE"/>
    <w:multiLevelType w:val="singleLevel"/>
    <w:tmpl w:val="B66AA1CE"/>
    <w:lvl w:ilvl="0" w:tentative="0">
      <w:start w:val="3"/>
      <w:numFmt w:val="decimal"/>
      <w:suff w:val="nothing"/>
      <w:lvlText w:val="（%1）"/>
      <w:lvlJc w:val="left"/>
      <w:pPr>
        <w:ind w:left="-60"/>
      </w:pPr>
    </w:lvl>
  </w:abstractNum>
  <w:abstractNum w:abstractNumId="3">
    <w:nsid w:val="CE98D13F"/>
    <w:multiLevelType w:val="singleLevel"/>
    <w:tmpl w:val="CE98D13F"/>
    <w:lvl w:ilvl="0" w:tentative="0">
      <w:start w:val="1"/>
      <w:numFmt w:val="decimal"/>
      <w:lvlText w:val="%1."/>
      <w:lvlJc w:val="left"/>
      <w:pPr>
        <w:tabs>
          <w:tab w:val="left" w:pos="312"/>
        </w:tabs>
      </w:pPr>
    </w:lvl>
  </w:abstractNum>
  <w:abstractNum w:abstractNumId="4">
    <w:nsid w:val="6B4B89DF"/>
    <w:multiLevelType w:val="singleLevel"/>
    <w:tmpl w:val="6B4B89DF"/>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2E3YmRiODJhOTViNDQyMGZiYjg3NWY4MWJhM2MifQ=="/>
  </w:docVars>
  <w:rsids>
    <w:rsidRoot w:val="00D1402F"/>
    <w:rsid w:val="00000E72"/>
    <w:rsid w:val="0000148D"/>
    <w:rsid w:val="00004D03"/>
    <w:rsid w:val="00022E2E"/>
    <w:rsid w:val="000248B2"/>
    <w:rsid w:val="00027B85"/>
    <w:rsid w:val="00034F8E"/>
    <w:rsid w:val="00035124"/>
    <w:rsid w:val="000359A5"/>
    <w:rsid w:val="0003620D"/>
    <w:rsid w:val="00042C8E"/>
    <w:rsid w:val="00055F9B"/>
    <w:rsid w:val="00056A1A"/>
    <w:rsid w:val="000640F4"/>
    <w:rsid w:val="00080F61"/>
    <w:rsid w:val="00081A9E"/>
    <w:rsid w:val="00082761"/>
    <w:rsid w:val="00087C9A"/>
    <w:rsid w:val="00087F9A"/>
    <w:rsid w:val="0009510E"/>
    <w:rsid w:val="000A7836"/>
    <w:rsid w:val="000B11A1"/>
    <w:rsid w:val="000B6C25"/>
    <w:rsid w:val="000C11DF"/>
    <w:rsid w:val="000C34B5"/>
    <w:rsid w:val="000C65C3"/>
    <w:rsid w:val="000D2388"/>
    <w:rsid w:val="000D6FAA"/>
    <w:rsid w:val="000E0531"/>
    <w:rsid w:val="000E066F"/>
    <w:rsid w:val="000E0726"/>
    <w:rsid w:val="000E2486"/>
    <w:rsid w:val="000E67D6"/>
    <w:rsid w:val="000F09ED"/>
    <w:rsid w:val="000F18B6"/>
    <w:rsid w:val="000F5120"/>
    <w:rsid w:val="000F5C00"/>
    <w:rsid w:val="000F6C5F"/>
    <w:rsid w:val="001009B9"/>
    <w:rsid w:val="0010370D"/>
    <w:rsid w:val="00110CF8"/>
    <w:rsid w:val="0011200D"/>
    <w:rsid w:val="00114F55"/>
    <w:rsid w:val="00125B99"/>
    <w:rsid w:val="001270D6"/>
    <w:rsid w:val="00131766"/>
    <w:rsid w:val="00136B15"/>
    <w:rsid w:val="00137905"/>
    <w:rsid w:val="00143ABB"/>
    <w:rsid w:val="0014578B"/>
    <w:rsid w:val="001544C8"/>
    <w:rsid w:val="00160C65"/>
    <w:rsid w:val="0016617D"/>
    <w:rsid w:val="00170AD9"/>
    <w:rsid w:val="00181A53"/>
    <w:rsid w:val="0019265E"/>
    <w:rsid w:val="00197522"/>
    <w:rsid w:val="00197799"/>
    <w:rsid w:val="001A40B2"/>
    <w:rsid w:val="001A6FEC"/>
    <w:rsid w:val="001B479D"/>
    <w:rsid w:val="001C1CEA"/>
    <w:rsid w:val="001C25F4"/>
    <w:rsid w:val="001C2BCD"/>
    <w:rsid w:val="001C3374"/>
    <w:rsid w:val="001D5090"/>
    <w:rsid w:val="001E5B06"/>
    <w:rsid w:val="00202DF6"/>
    <w:rsid w:val="00214C24"/>
    <w:rsid w:val="002210E8"/>
    <w:rsid w:val="00231B9D"/>
    <w:rsid w:val="002360C0"/>
    <w:rsid w:val="00241E40"/>
    <w:rsid w:val="0025323C"/>
    <w:rsid w:val="00255B76"/>
    <w:rsid w:val="002579D4"/>
    <w:rsid w:val="00257D4C"/>
    <w:rsid w:val="002638E8"/>
    <w:rsid w:val="00272FBC"/>
    <w:rsid w:val="00273633"/>
    <w:rsid w:val="002815E7"/>
    <w:rsid w:val="00285CDA"/>
    <w:rsid w:val="0029138F"/>
    <w:rsid w:val="00294993"/>
    <w:rsid w:val="0029698A"/>
    <w:rsid w:val="002A01A7"/>
    <w:rsid w:val="002A4559"/>
    <w:rsid w:val="002A57FA"/>
    <w:rsid w:val="002A6C79"/>
    <w:rsid w:val="002B017B"/>
    <w:rsid w:val="002B4129"/>
    <w:rsid w:val="002B6705"/>
    <w:rsid w:val="002C248C"/>
    <w:rsid w:val="002C4052"/>
    <w:rsid w:val="002C66AF"/>
    <w:rsid w:val="002D2B0F"/>
    <w:rsid w:val="002D630D"/>
    <w:rsid w:val="002E6258"/>
    <w:rsid w:val="002E79F4"/>
    <w:rsid w:val="002F06D6"/>
    <w:rsid w:val="002F7FDA"/>
    <w:rsid w:val="00300428"/>
    <w:rsid w:val="0030329F"/>
    <w:rsid w:val="00315DED"/>
    <w:rsid w:val="00323B52"/>
    <w:rsid w:val="003316D2"/>
    <w:rsid w:val="00332349"/>
    <w:rsid w:val="003406A8"/>
    <w:rsid w:val="00352125"/>
    <w:rsid w:val="00352BA7"/>
    <w:rsid w:val="00361580"/>
    <w:rsid w:val="003658ED"/>
    <w:rsid w:val="003710BB"/>
    <w:rsid w:val="0037355C"/>
    <w:rsid w:val="003924D8"/>
    <w:rsid w:val="00393442"/>
    <w:rsid w:val="00397F12"/>
    <w:rsid w:val="003A4282"/>
    <w:rsid w:val="003A7A48"/>
    <w:rsid w:val="003A7E58"/>
    <w:rsid w:val="003B3823"/>
    <w:rsid w:val="003B3E93"/>
    <w:rsid w:val="003B6517"/>
    <w:rsid w:val="003C6D4B"/>
    <w:rsid w:val="003D0418"/>
    <w:rsid w:val="003D09C2"/>
    <w:rsid w:val="003D2601"/>
    <w:rsid w:val="003E1D48"/>
    <w:rsid w:val="003E5DE3"/>
    <w:rsid w:val="003E67DA"/>
    <w:rsid w:val="0040137A"/>
    <w:rsid w:val="004032D9"/>
    <w:rsid w:val="00407316"/>
    <w:rsid w:val="00414786"/>
    <w:rsid w:val="00416095"/>
    <w:rsid w:val="004163C7"/>
    <w:rsid w:val="00432D2C"/>
    <w:rsid w:val="004365DB"/>
    <w:rsid w:val="00447142"/>
    <w:rsid w:val="004503AF"/>
    <w:rsid w:val="00453846"/>
    <w:rsid w:val="00454AD3"/>
    <w:rsid w:val="00455842"/>
    <w:rsid w:val="00467147"/>
    <w:rsid w:val="004749C4"/>
    <w:rsid w:val="00480ABA"/>
    <w:rsid w:val="004820FD"/>
    <w:rsid w:val="0049099B"/>
    <w:rsid w:val="004950BB"/>
    <w:rsid w:val="00495DF6"/>
    <w:rsid w:val="004A5364"/>
    <w:rsid w:val="004B16BF"/>
    <w:rsid w:val="004B42ED"/>
    <w:rsid w:val="004B54A8"/>
    <w:rsid w:val="004B61D7"/>
    <w:rsid w:val="004B7A0F"/>
    <w:rsid w:val="004C51F8"/>
    <w:rsid w:val="004C713B"/>
    <w:rsid w:val="004E106E"/>
    <w:rsid w:val="004E125D"/>
    <w:rsid w:val="004E43F6"/>
    <w:rsid w:val="004E5CE5"/>
    <w:rsid w:val="004E7CFE"/>
    <w:rsid w:val="004F05CD"/>
    <w:rsid w:val="004F0713"/>
    <w:rsid w:val="004F2295"/>
    <w:rsid w:val="004F6CD2"/>
    <w:rsid w:val="00506D61"/>
    <w:rsid w:val="00512B17"/>
    <w:rsid w:val="00513180"/>
    <w:rsid w:val="005141DB"/>
    <w:rsid w:val="00516FC5"/>
    <w:rsid w:val="0052198E"/>
    <w:rsid w:val="00524340"/>
    <w:rsid w:val="00531736"/>
    <w:rsid w:val="005468F4"/>
    <w:rsid w:val="00552D1B"/>
    <w:rsid w:val="00553810"/>
    <w:rsid w:val="00556FF7"/>
    <w:rsid w:val="00560524"/>
    <w:rsid w:val="00564257"/>
    <w:rsid w:val="00566B74"/>
    <w:rsid w:val="00570F12"/>
    <w:rsid w:val="0058290A"/>
    <w:rsid w:val="005969DA"/>
    <w:rsid w:val="005A1A80"/>
    <w:rsid w:val="005A1FF2"/>
    <w:rsid w:val="005A6A8D"/>
    <w:rsid w:val="005B151A"/>
    <w:rsid w:val="005B2129"/>
    <w:rsid w:val="005C1ECD"/>
    <w:rsid w:val="005C4892"/>
    <w:rsid w:val="005C5713"/>
    <w:rsid w:val="005D053F"/>
    <w:rsid w:val="005D106B"/>
    <w:rsid w:val="005D45F7"/>
    <w:rsid w:val="005E1571"/>
    <w:rsid w:val="005E34A4"/>
    <w:rsid w:val="005E6646"/>
    <w:rsid w:val="005F02A6"/>
    <w:rsid w:val="0060533C"/>
    <w:rsid w:val="00615DD3"/>
    <w:rsid w:val="00615FBD"/>
    <w:rsid w:val="00620275"/>
    <w:rsid w:val="00625132"/>
    <w:rsid w:val="00642B01"/>
    <w:rsid w:val="006441FE"/>
    <w:rsid w:val="00645AE7"/>
    <w:rsid w:val="0065198F"/>
    <w:rsid w:val="00657803"/>
    <w:rsid w:val="00660A3B"/>
    <w:rsid w:val="006638BE"/>
    <w:rsid w:val="00666E10"/>
    <w:rsid w:val="00667F1B"/>
    <w:rsid w:val="00676E98"/>
    <w:rsid w:val="006777E9"/>
    <w:rsid w:val="00680BAC"/>
    <w:rsid w:val="0068110C"/>
    <w:rsid w:val="00683B03"/>
    <w:rsid w:val="00695F76"/>
    <w:rsid w:val="006A1D0C"/>
    <w:rsid w:val="006A4DEA"/>
    <w:rsid w:val="006A63BA"/>
    <w:rsid w:val="006A77A1"/>
    <w:rsid w:val="006B4847"/>
    <w:rsid w:val="006B63D9"/>
    <w:rsid w:val="006C7EE3"/>
    <w:rsid w:val="006D24CC"/>
    <w:rsid w:val="006D4E14"/>
    <w:rsid w:val="006E09CC"/>
    <w:rsid w:val="006E0C3F"/>
    <w:rsid w:val="006E196A"/>
    <w:rsid w:val="006F2AB5"/>
    <w:rsid w:val="006F6C3F"/>
    <w:rsid w:val="0070320A"/>
    <w:rsid w:val="007147B2"/>
    <w:rsid w:val="00721EA8"/>
    <w:rsid w:val="007240DC"/>
    <w:rsid w:val="00725984"/>
    <w:rsid w:val="00725E85"/>
    <w:rsid w:val="00730F56"/>
    <w:rsid w:val="00731748"/>
    <w:rsid w:val="00735BEA"/>
    <w:rsid w:val="007411E5"/>
    <w:rsid w:val="00744DC6"/>
    <w:rsid w:val="007524E5"/>
    <w:rsid w:val="00756719"/>
    <w:rsid w:val="0076687E"/>
    <w:rsid w:val="00767FB4"/>
    <w:rsid w:val="0077362F"/>
    <w:rsid w:val="00781BAB"/>
    <w:rsid w:val="00782CD1"/>
    <w:rsid w:val="00785804"/>
    <w:rsid w:val="00794AD2"/>
    <w:rsid w:val="007966E7"/>
    <w:rsid w:val="007A0C1F"/>
    <w:rsid w:val="007A26A1"/>
    <w:rsid w:val="007A61A7"/>
    <w:rsid w:val="007A6602"/>
    <w:rsid w:val="007A7341"/>
    <w:rsid w:val="007B129E"/>
    <w:rsid w:val="007B2645"/>
    <w:rsid w:val="007B37F0"/>
    <w:rsid w:val="007B5717"/>
    <w:rsid w:val="007C4400"/>
    <w:rsid w:val="007C44BE"/>
    <w:rsid w:val="007C4B08"/>
    <w:rsid w:val="007E025B"/>
    <w:rsid w:val="007E39AA"/>
    <w:rsid w:val="007E703C"/>
    <w:rsid w:val="007F30F3"/>
    <w:rsid w:val="007F4710"/>
    <w:rsid w:val="007F52AD"/>
    <w:rsid w:val="007F5E64"/>
    <w:rsid w:val="007F7BF1"/>
    <w:rsid w:val="008005A7"/>
    <w:rsid w:val="00800746"/>
    <w:rsid w:val="00805183"/>
    <w:rsid w:val="00805376"/>
    <w:rsid w:val="00813DB7"/>
    <w:rsid w:val="00817665"/>
    <w:rsid w:val="00826855"/>
    <w:rsid w:val="0082756A"/>
    <w:rsid w:val="0083286D"/>
    <w:rsid w:val="00833600"/>
    <w:rsid w:val="008373A9"/>
    <w:rsid w:val="00841959"/>
    <w:rsid w:val="00842644"/>
    <w:rsid w:val="008662A3"/>
    <w:rsid w:val="00870DC3"/>
    <w:rsid w:val="00872493"/>
    <w:rsid w:val="0087531A"/>
    <w:rsid w:val="008769E3"/>
    <w:rsid w:val="00876BCD"/>
    <w:rsid w:val="00883E4B"/>
    <w:rsid w:val="00892105"/>
    <w:rsid w:val="00897481"/>
    <w:rsid w:val="008974B5"/>
    <w:rsid w:val="008A23EE"/>
    <w:rsid w:val="008A5E74"/>
    <w:rsid w:val="008B0A34"/>
    <w:rsid w:val="008B0BD4"/>
    <w:rsid w:val="008B1BAE"/>
    <w:rsid w:val="008B2072"/>
    <w:rsid w:val="008B44D6"/>
    <w:rsid w:val="008B672D"/>
    <w:rsid w:val="008C24A8"/>
    <w:rsid w:val="008C3B82"/>
    <w:rsid w:val="008C416D"/>
    <w:rsid w:val="008C4C36"/>
    <w:rsid w:val="008D48AC"/>
    <w:rsid w:val="008D4B22"/>
    <w:rsid w:val="008D6038"/>
    <w:rsid w:val="008D6289"/>
    <w:rsid w:val="008E0B95"/>
    <w:rsid w:val="008E38B2"/>
    <w:rsid w:val="008F2D4A"/>
    <w:rsid w:val="008F50FF"/>
    <w:rsid w:val="008F735A"/>
    <w:rsid w:val="0090184B"/>
    <w:rsid w:val="00904ABB"/>
    <w:rsid w:val="00915393"/>
    <w:rsid w:val="009161CD"/>
    <w:rsid w:val="0091766C"/>
    <w:rsid w:val="009208B6"/>
    <w:rsid w:val="00920C99"/>
    <w:rsid w:val="00924BB4"/>
    <w:rsid w:val="00925294"/>
    <w:rsid w:val="00925B79"/>
    <w:rsid w:val="00925D88"/>
    <w:rsid w:val="00933A66"/>
    <w:rsid w:val="00933E00"/>
    <w:rsid w:val="00934673"/>
    <w:rsid w:val="00943DB8"/>
    <w:rsid w:val="009512D7"/>
    <w:rsid w:val="009530CE"/>
    <w:rsid w:val="00970D89"/>
    <w:rsid w:val="00986A54"/>
    <w:rsid w:val="009901B3"/>
    <w:rsid w:val="00994D3D"/>
    <w:rsid w:val="00997D30"/>
    <w:rsid w:val="009A3D0C"/>
    <w:rsid w:val="009A705C"/>
    <w:rsid w:val="009D2724"/>
    <w:rsid w:val="009D4E64"/>
    <w:rsid w:val="009D545A"/>
    <w:rsid w:val="009E152D"/>
    <w:rsid w:val="009E4CAA"/>
    <w:rsid w:val="009F3FAB"/>
    <w:rsid w:val="009F4E1E"/>
    <w:rsid w:val="009F713F"/>
    <w:rsid w:val="00A02551"/>
    <w:rsid w:val="00A03225"/>
    <w:rsid w:val="00A03FF5"/>
    <w:rsid w:val="00A056AE"/>
    <w:rsid w:val="00A10873"/>
    <w:rsid w:val="00A134BA"/>
    <w:rsid w:val="00A14274"/>
    <w:rsid w:val="00A2120D"/>
    <w:rsid w:val="00A23F59"/>
    <w:rsid w:val="00A53F22"/>
    <w:rsid w:val="00A571C9"/>
    <w:rsid w:val="00A62B45"/>
    <w:rsid w:val="00A63355"/>
    <w:rsid w:val="00A7588F"/>
    <w:rsid w:val="00A76679"/>
    <w:rsid w:val="00A76B31"/>
    <w:rsid w:val="00A83BAA"/>
    <w:rsid w:val="00A90896"/>
    <w:rsid w:val="00A93271"/>
    <w:rsid w:val="00A9388F"/>
    <w:rsid w:val="00A94412"/>
    <w:rsid w:val="00A95E02"/>
    <w:rsid w:val="00AB276A"/>
    <w:rsid w:val="00AB611B"/>
    <w:rsid w:val="00AD1F4B"/>
    <w:rsid w:val="00AE671E"/>
    <w:rsid w:val="00AF4432"/>
    <w:rsid w:val="00B00B20"/>
    <w:rsid w:val="00B01271"/>
    <w:rsid w:val="00B0266F"/>
    <w:rsid w:val="00B0328A"/>
    <w:rsid w:val="00B05624"/>
    <w:rsid w:val="00B0658B"/>
    <w:rsid w:val="00B10D66"/>
    <w:rsid w:val="00B15638"/>
    <w:rsid w:val="00B24538"/>
    <w:rsid w:val="00B261A0"/>
    <w:rsid w:val="00B31DD7"/>
    <w:rsid w:val="00B46E59"/>
    <w:rsid w:val="00B577F6"/>
    <w:rsid w:val="00B61CE2"/>
    <w:rsid w:val="00B640B3"/>
    <w:rsid w:val="00B67A91"/>
    <w:rsid w:val="00B7500D"/>
    <w:rsid w:val="00B90BB7"/>
    <w:rsid w:val="00B91186"/>
    <w:rsid w:val="00B95367"/>
    <w:rsid w:val="00B9666A"/>
    <w:rsid w:val="00BA1284"/>
    <w:rsid w:val="00BA1602"/>
    <w:rsid w:val="00BB45A9"/>
    <w:rsid w:val="00BC3E21"/>
    <w:rsid w:val="00BC7209"/>
    <w:rsid w:val="00BD1148"/>
    <w:rsid w:val="00BD1FB5"/>
    <w:rsid w:val="00BD4B72"/>
    <w:rsid w:val="00BD6AC0"/>
    <w:rsid w:val="00BD75A3"/>
    <w:rsid w:val="00BE1C16"/>
    <w:rsid w:val="00BE25F6"/>
    <w:rsid w:val="00BE293F"/>
    <w:rsid w:val="00BE2A11"/>
    <w:rsid w:val="00BE4762"/>
    <w:rsid w:val="00BF06A9"/>
    <w:rsid w:val="00BF22D5"/>
    <w:rsid w:val="00BF591D"/>
    <w:rsid w:val="00BF77DF"/>
    <w:rsid w:val="00C0504F"/>
    <w:rsid w:val="00C13AB4"/>
    <w:rsid w:val="00C168CA"/>
    <w:rsid w:val="00C17F03"/>
    <w:rsid w:val="00C2237A"/>
    <w:rsid w:val="00C40298"/>
    <w:rsid w:val="00C45D0B"/>
    <w:rsid w:val="00C47916"/>
    <w:rsid w:val="00C47A69"/>
    <w:rsid w:val="00C5009D"/>
    <w:rsid w:val="00C5016A"/>
    <w:rsid w:val="00C5251F"/>
    <w:rsid w:val="00C6470C"/>
    <w:rsid w:val="00C83244"/>
    <w:rsid w:val="00C8641A"/>
    <w:rsid w:val="00C977CA"/>
    <w:rsid w:val="00CA05A5"/>
    <w:rsid w:val="00CA0D3F"/>
    <w:rsid w:val="00CA2F16"/>
    <w:rsid w:val="00CB1F99"/>
    <w:rsid w:val="00CD0457"/>
    <w:rsid w:val="00CD475E"/>
    <w:rsid w:val="00CD7364"/>
    <w:rsid w:val="00CE17CE"/>
    <w:rsid w:val="00CF1A50"/>
    <w:rsid w:val="00CF2D50"/>
    <w:rsid w:val="00CF4005"/>
    <w:rsid w:val="00CF677A"/>
    <w:rsid w:val="00CF761C"/>
    <w:rsid w:val="00CF776E"/>
    <w:rsid w:val="00D0613D"/>
    <w:rsid w:val="00D1402F"/>
    <w:rsid w:val="00D15D61"/>
    <w:rsid w:val="00D2343A"/>
    <w:rsid w:val="00D2477C"/>
    <w:rsid w:val="00D3107E"/>
    <w:rsid w:val="00D34E47"/>
    <w:rsid w:val="00D36A93"/>
    <w:rsid w:val="00D43F65"/>
    <w:rsid w:val="00D4645D"/>
    <w:rsid w:val="00D46AC1"/>
    <w:rsid w:val="00D515FD"/>
    <w:rsid w:val="00D51C0D"/>
    <w:rsid w:val="00D56228"/>
    <w:rsid w:val="00D56B41"/>
    <w:rsid w:val="00D7623B"/>
    <w:rsid w:val="00D81138"/>
    <w:rsid w:val="00D857F5"/>
    <w:rsid w:val="00D86A18"/>
    <w:rsid w:val="00D8720A"/>
    <w:rsid w:val="00D90E0D"/>
    <w:rsid w:val="00D94557"/>
    <w:rsid w:val="00DA2B50"/>
    <w:rsid w:val="00DA49AB"/>
    <w:rsid w:val="00DB2C29"/>
    <w:rsid w:val="00DB4A42"/>
    <w:rsid w:val="00DD78D4"/>
    <w:rsid w:val="00DE45CE"/>
    <w:rsid w:val="00DE57A9"/>
    <w:rsid w:val="00DF7D8B"/>
    <w:rsid w:val="00E05280"/>
    <w:rsid w:val="00E15652"/>
    <w:rsid w:val="00E20CD4"/>
    <w:rsid w:val="00E22AEB"/>
    <w:rsid w:val="00E244EE"/>
    <w:rsid w:val="00E415CB"/>
    <w:rsid w:val="00E4679D"/>
    <w:rsid w:val="00E527DF"/>
    <w:rsid w:val="00E57AF0"/>
    <w:rsid w:val="00E628D8"/>
    <w:rsid w:val="00E668DF"/>
    <w:rsid w:val="00E66D0A"/>
    <w:rsid w:val="00E704BF"/>
    <w:rsid w:val="00E76D2F"/>
    <w:rsid w:val="00E828DB"/>
    <w:rsid w:val="00E934ED"/>
    <w:rsid w:val="00E954C9"/>
    <w:rsid w:val="00EA13CE"/>
    <w:rsid w:val="00EA4386"/>
    <w:rsid w:val="00EA753F"/>
    <w:rsid w:val="00EB0D21"/>
    <w:rsid w:val="00EB1686"/>
    <w:rsid w:val="00EB2B6B"/>
    <w:rsid w:val="00EB2CEF"/>
    <w:rsid w:val="00EB3955"/>
    <w:rsid w:val="00EC2BA0"/>
    <w:rsid w:val="00ED7924"/>
    <w:rsid w:val="00F033A1"/>
    <w:rsid w:val="00F05586"/>
    <w:rsid w:val="00F12FE1"/>
    <w:rsid w:val="00F204B9"/>
    <w:rsid w:val="00F2207A"/>
    <w:rsid w:val="00F26C14"/>
    <w:rsid w:val="00F27400"/>
    <w:rsid w:val="00F3107B"/>
    <w:rsid w:val="00F33221"/>
    <w:rsid w:val="00F342A7"/>
    <w:rsid w:val="00F36AFD"/>
    <w:rsid w:val="00F36F54"/>
    <w:rsid w:val="00F43057"/>
    <w:rsid w:val="00F433C4"/>
    <w:rsid w:val="00F45D48"/>
    <w:rsid w:val="00F5206C"/>
    <w:rsid w:val="00F57447"/>
    <w:rsid w:val="00F616AD"/>
    <w:rsid w:val="00F734DC"/>
    <w:rsid w:val="00F806F1"/>
    <w:rsid w:val="00F94919"/>
    <w:rsid w:val="00F97FB1"/>
    <w:rsid w:val="00FB2038"/>
    <w:rsid w:val="00FB7DFC"/>
    <w:rsid w:val="00FC6D07"/>
    <w:rsid w:val="00FD0F25"/>
    <w:rsid w:val="00FD6B5E"/>
    <w:rsid w:val="00FD751B"/>
    <w:rsid w:val="00FD7BB4"/>
    <w:rsid w:val="00FE410B"/>
    <w:rsid w:val="00FE43E0"/>
    <w:rsid w:val="00FE4A77"/>
    <w:rsid w:val="00FE5216"/>
    <w:rsid w:val="00FE5C5D"/>
    <w:rsid w:val="00FF02D9"/>
    <w:rsid w:val="00FF0EDC"/>
    <w:rsid w:val="00FF6793"/>
    <w:rsid w:val="00FF6D7A"/>
    <w:rsid w:val="04586952"/>
    <w:rsid w:val="04C2712A"/>
    <w:rsid w:val="053D0366"/>
    <w:rsid w:val="05D42645"/>
    <w:rsid w:val="06E63933"/>
    <w:rsid w:val="06F721DA"/>
    <w:rsid w:val="08485639"/>
    <w:rsid w:val="08DB418A"/>
    <w:rsid w:val="0920163F"/>
    <w:rsid w:val="09D1017F"/>
    <w:rsid w:val="0A2E3434"/>
    <w:rsid w:val="0BB86C71"/>
    <w:rsid w:val="0BCE0F5D"/>
    <w:rsid w:val="0E524965"/>
    <w:rsid w:val="0E904AC8"/>
    <w:rsid w:val="10A249E9"/>
    <w:rsid w:val="1105471F"/>
    <w:rsid w:val="114F2A9E"/>
    <w:rsid w:val="11A678AD"/>
    <w:rsid w:val="11DA5AB3"/>
    <w:rsid w:val="128C4D74"/>
    <w:rsid w:val="17262DB4"/>
    <w:rsid w:val="174E3A7E"/>
    <w:rsid w:val="176E561B"/>
    <w:rsid w:val="18171626"/>
    <w:rsid w:val="18B560F0"/>
    <w:rsid w:val="1B0D6EF9"/>
    <w:rsid w:val="1C9D31E1"/>
    <w:rsid w:val="1CC675B9"/>
    <w:rsid w:val="1F13792A"/>
    <w:rsid w:val="202F6387"/>
    <w:rsid w:val="204F3F10"/>
    <w:rsid w:val="235558E1"/>
    <w:rsid w:val="24C30629"/>
    <w:rsid w:val="2593690B"/>
    <w:rsid w:val="26DB5BF0"/>
    <w:rsid w:val="26F34E27"/>
    <w:rsid w:val="27724D2D"/>
    <w:rsid w:val="29F34083"/>
    <w:rsid w:val="2BF8505C"/>
    <w:rsid w:val="2CA43435"/>
    <w:rsid w:val="2E3A6F1B"/>
    <w:rsid w:val="2EAA78F3"/>
    <w:rsid w:val="2EAE633C"/>
    <w:rsid w:val="2EC04FA7"/>
    <w:rsid w:val="2FF10438"/>
    <w:rsid w:val="30245355"/>
    <w:rsid w:val="313340FF"/>
    <w:rsid w:val="31C72739"/>
    <w:rsid w:val="32713A54"/>
    <w:rsid w:val="33273B3F"/>
    <w:rsid w:val="35C34E8F"/>
    <w:rsid w:val="36221EA3"/>
    <w:rsid w:val="37ED4B4C"/>
    <w:rsid w:val="39A66860"/>
    <w:rsid w:val="39B822CE"/>
    <w:rsid w:val="39EC4CC4"/>
    <w:rsid w:val="3BBC792B"/>
    <w:rsid w:val="3D2008B6"/>
    <w:rsid w:val="3D36561D"/>
    <w:rsid w:val="3E9A6EC9"/>
    <w:rsid w:val="423423A6"/>
    <w:rsid w:val="435033EE"/>
    <w:rsid w:val="43823360"/>
    <w:rsid w:val="44C757BD"/>
    <w:rsid w:val="478A1CA8"/>
    <w:rsid w:val="48FA500A"/>
    <w:rsid w:val="490E7F05"/>
    <w:rsid w:val="49380325"/>
    <w:rsid w:val="4A2261DF"/>
    <w:rsid w:val="4A822711"/>
    <w:rsid w:val="4A8B25AE"/>
    <w:rsid w:val="4CD330FC"/>
    <w:rsid w:val="4EEE5B20"/>
    <w:rsid w:val="50A55BC0"/>
    <w:rsid w:val="531C3D87"/>
    <w:rsid w:val="53D02360"/>
    <w:rsid w:val="54A808F4"/>
    <w:rsid w:val="56666EE2"/>
    <w:rsid w:val="57075546"/>
    <w:rsid w:val="57431597"/>
    <w:rsid w:val="57906D45"/>
    <w:rsid w:val="57D1544C"/>
    <w:rsid w:val="5BD157AD"/>
    <w:rsid w:val="5E0F0E3D"/>
    <w:rsid w:val="5EC42823"/>
    <w:rsid w:val="5F3577CB"/>
    <w:rsid w:val="5F920DCE"/>
    <w:rsid w:val="60AB7FE3"/>
    <w:rsid w:val="6224742D"/>
    <w:rsid w:val="623406E6"/>
    <w:rsid w:val="641C6E32"/>
    <w:rsid w:val="67527A77"/>
    <w:rsid w:val="68E80E59"/>
    <w:rsid w:val="6B023612"/>
    <w:rsid w:val="6C8629D0"/>
    <w:rsid w:val="711D0DD2"/>
    <w:rsid w:val="71806972"/>
    <w:rsid w:val="72695938"/>
    <w:rsid w:val="729353B8"/>
    <w:rsid w:val="7315786E"/>
    <w:rsid w:val="734F006B"/>
    <w:rsid w:val="73DD4F67"/>
    <w:rsid w:val="75795A4A"/>
    <w:rsid w:val="77D13C5B"/>
    <w:rsid w:val="79926CFA"/>
    <w:rsid w:val="79BA4CCB"/>
    <w:rsid w:val="7A572E20"/>
    <w:rsid w:val="7B61767E"/>
    <w:rsid w:val="7BEC7B01"/>
    <w:rsid w:val="7C6041FA"/>
    <w:rsid w:val="7D050953"/>
    <w:rsid w:val="7D864558"/>
    <w:rsid w:val="7E2D1F10"/>
    <w:rsid w:val="7F74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ody Text"/>
    <w:basedOn w:val="1"/>
    <w:qFormat/>
    <w:uiPriority w:val="0"/>
    <w:pPr>
      <w:spacing w:after="120"/>
    </w:pPr>
  </w:style>
  <w:style w:type="paragraph" w:styleId="6">
    <w:name w:val="Body Text Indent"/>
    <w:basedOn w:val="1"/>
    <w:next w:val="1"/>
    <w:qFormat/>
    <w:uiPriority w:val="0"/>
    <w:pPr>
      <w:ind w:firstLine="700" w:firstLineChars="250"/>
    </w:pPr>
    <w:rPr>
      <w:rFonts w:ascii="楷体_GB2312" w:hAnsi="宋体" w:eastAsia="楷体_GB2312"/>
      <w:sz w:val="28"/>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qFormat/>
    <w:uiPriority w:val="0"/>
  </w:style>
  <w:style w:type="character" w:styleId="16">
    <w:name w:val="Hyperlink"/>
    <w:unhideWhenUsed/>
    <w:qFormat/>
    <w:uiPriority w:val="99"/>
    <w:rPr>
      <w:color w:val="0000FF"/>
      <w:u w:val="single"/>
    </w:rPr>
  </w:style>
  <w:style w:type="paragraph" w:styleId="17">
    <w:name w:val="List Paragraph"/>
    <w:basedOn w:val="1"/>
    <w:qFormat/>
    <w:uiPriority w:val="34"/>
    <w:pPr>
      <w:ind w:firstLine="420" w:firstLineChars="200"/>
    </w:pPr>
  </w:style>
  <w:style w:type="paragraph" w:customStyle="1" w:styleId="18">
    <w:name w:val="图"/>
    <w:basedOn w:val="1"/>
    <w:qFormat/>
    <w:uiPriority w:val="0"/>
    <w:pPr>
      <w:keepNext/>
      <w:spacing w:before="60" w:after="60" w:line="300" w:lineRule="auto"/>
      <w:jc w:val="center"/>
      <w:textAlignment w:val="center"/>
    </w:pPr>
    <w:rPr>
      <w:snapToGrid w:val="0"/>
      <w:spacing w:val="20"/>
      <w:sz w:val="24"/>
    </w:rPr>
  </w:style>
  <w:style w:type="paragraph" w:customStyle="1" w:styleId="19">
    <w:name w:val="正文_1_0"/>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5851</Words>
  <Characters>6191</Characters>
  <Lines>54</Lines>
  <Paragraphs>15</Paragraphs>
  <TotalTime>7</TotalTime>
  <ScaleCrop>false</ScaleCrop>
  <LinksUpToDate>false</LinksUpToDate>
  <CharactersWithSpaces>6394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2025-04-30T07:38:00Z</dcterms:created>
  <dc:creator>微软用户</dc:creator>
  <cp:lastModifiedBy>Jelly</cp:lastModifiedBy>
  <cp:lastPrinted>2025-04-30T07:08:00Z</cp:lastPrinted>
  <dcterms:modified xsi:type="dcterms:W3CDTF">2025-05-19T10:01:23Z</dcterms:modified>
  <dc:title>北山湾校区教学楼及实训楼安装窗帘项目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E5D168D0BB234F9996E8A32F7B712D23_13</vt:lpwstr>
  </property>
  <property fmtid="{D5CDD505-2E9C-101B-9397-08002B2CF9AE}" pid="4" name="KSOTemplateDocerSaveRecord">
    <vt:lpwstr>eyJoZGlkIjoiZjlmYmYyZWQ4NzA1MjMzYWE5OWI3ZmEwNzIyOTFlM2IiLCJ1c2VySWQiOiI0MjE5MjgwNjkifQ==</vt:lpwstr>
  </property>
</Properties>
</file>