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A359D">
      <w:pPr>
        <w:tabs>
          <w:tab w:val="left" w:pos="420"/>
          <w:tab w:val="left" w:pos="6660"/>
        </w:tabs>
        <w:adjustRightInd w:val="0"/>
        <w:snapToGrid w:val="0"/>
        <w:spacing w:line="360" w:lineRule="auto"/>
        <w:rPr>
          <w:rFonts w:ascii="仿宋_GB2312" w:hAnsi="宋体" w:eastAsia="仿宋_GB2312"/>
          <w:b/>
          <w:spacing w:val="160"/>
          <w:sz w:val="48"/>
          <w:szCs w:val="48"/>
        </w:rPr>
      </w:pPr>
    </w:p>
    <w:p w14:paraId="5A0EFF17">
      <w:pPr>
        <w:tabs>
          <w:tab w:val="left" w:pos="420"/>
          <w:tab w:val="left" w:pos="6660"/>
        </w:tabs>
        <w:adjustRightInd w:val="0"/>
        <w:snapToGrid w:val="0"/>
        <w:spacing w:line="360" w:lineRule="auto"/>
        <w:rPr>
          <w:rFonts w:ascii="仿宋_GB2312" w:hAnsi="宋体" w:eastAsia="仿宋_GB2312"/>
          <w:b/>
          <w:spacing w:val="160"/>
          <w:sz w:val="48"/>
          <w:szCs w:val="48"/>
        </w:rPr>
      </w:pPr>
    </w:p>
    <w:p w14:paraId="7386D329">
      <w:pPr>
        <w:tabs>
          <w:tab w:val="left" w:pos="420"/>
          <w:tab w:val="left" w:pos="6660"/>
        </w:tabs>
        <w:adjustRightInd w:val="0"/>
        <w:snapToGrid w:val="0"/>
        <w:spacing w:line="360" w:lineRule="auto"/>
        <w:rPr>
          <w:rFonts w:ascii="仿宋_GB2312" w:hAnsi="宋体" w:eastAsia="仿宋_GB2312"/>
          <w:b/>
          <w:spacing w:val="160"/>
          <w:sz w:val="48"/>
          <w:szCs w:val="48"/>
        </w:rPr>
      </w:pPr>
    </w:p>
    <w:p w14:paraId="2FF0E858">
      <w:pPr>
        <w:tabs>
          <w:tab w:val="left" w:pos="420"/>
          <w:tab w:val="left" w:pos="6660"/>
        </w:tabs>
        <w:adjustRightInd w:val="0"/>
        <w:snapToGrid w:val="0"/>
        <w:spacing w:line="360" w:lineRule="auto"/>
        <w:jc w:val="center"/>
        <w:rPr>
          <w:rFonts w:ascii="宋体" w:hAnsi="宋体"/>
          <w:b/>
          <w:spacing w:val="300"/>
          <w:sz w:val="84"/>
          <w:szCs w:val="84"/>
        </w:rPr>
      </w:pPr>
      <w:r>
        <w:rPr>
          <w:rFonts w:ascii="宋体" w:hAnsi="宋体"/>
          <w:b/>
          <w:spacing w:val="300"/>
          <w:sz w:val="84"/>
          <w:szCs w:val="84"/>
        </w:rPr>
        <w:t>招标文件</w:t>
      </w:r>
    </w:p>
    <w:p w14:paraId="55C3A329">
      <w:pPr>
        <w:spacing w:line="360" w:lineRule="auto"/>
        <w:rPr>
          <w:b/>
          <w:bCs/>
          <w:sz w:val="32"/>
          <w:szCs w:val="32"/>
        </w:rPr>
      </w:pPr>
    </w:p>
    <w:p w14:paraId="2C66E723">
      <w:pPr>
        <w:spacing w:line="360" w:lineRule="auto"/>
        <w:rPr>
          <w:b/>
          <w:bCs/>
          <w:sz w:val="32"/>
          <w:szCs w:val="32"/>
        </w:rPr>
      </w:pPr>
    </w:p>
    <w:p w14:paraId="35245A3A">
      <w:pPr>
        <w:spacing w:line="360" w:lineRule="auto"/>
        <w:rPr>
          <w:b/>
          <w:bCs/>
          <w:sz w:val="32"/>
          <w:szCs w:val="32"/>
        </w:rPr>
      </w:pPr>
    </w:p>
    <w:p w14:paraId="05F389B2">
      <w:pPr>
        <w:spacing w:line="360" w:lineRule="auto"/>
        <w:rPr>
          <w:b/>
          <w:bCs/>
          <w:sz w:val="32"/>
          <w:szCs w:val="32"/>
        </w:rPr>
      </w:pPr>
    </w:p>
    <w:p w14:paraId="6F4ACB44">
      <w:pPr>
        <w:spacing w:line="360" w:lineRule="auto"/>
        <w:ind w:firstLine="643" w:firstLineChars="200"/>
        <w:rPr>
          <w:b/>
          <w:sz w:val="32"/>
          <w:szCs w:val="32"/>
        </w:rPr>
      </w:pPr>
      <w:r>
        <w:rPr>
          <w:b/>
          <w:sz w:val="32"/>
          <w:szCs w:val="32"/>
        </w:rPr>
        <w:t>采购方式：</w:t>
      </w:r>
      <w:r>
        <w:rPr>
          <w:rFonts w:hint="eastAsia"/>
          <w:b/>
          <w:sz w:val="32"/>
          <w:szCs w:val="32"/>
        </w:rPr>
        <w:t>校内招标</w:t>
      </w:r>
    </w:p>
    <w:p w14:paraId="17F16137">
      <w:pPr>
        <w:spacing w:line="360" w:lineRule="auto"/>
        <w:ind w:firstLine="643" w:firstLineChars="200"/>
        <w:rPr>
          <w:rFonts w:hint="eastAsia" w:eastAsia="宋体"/>
          <w:b/>
          <w:caps/>
          <w:sz w:val="32"/>
          <w:szCs w:val="32"/>
          <w:lang w:eastAsia="zh-CN"/>
        </w:rPr>
      </w:pPr>
      <w:r>
        <w:rPr>
          <w:b/>
          <w:sz w:val="32"/>
          <w:szCs w:val="32"/>
        </w:rPr>
        <w:t>项目编号：</w:t>
      </w:r>
      <w:r>
        <w:rPr>
          <w:rFonts w:hint="eastAsia" w:ascii="宋体" w:hAnsi="宋体"/>
          <w:b/>
          <w:sz w:val="32"/>
          <w:szCs w:val="32"/>
          <w:lang w:eastAsia="zh-CN"/>
        </w:rPr>
        <w:t>X</w:t>
      </w:r>
      <w:r>
        <w:rPr>
          <w:rFonts w:hint="eastAsia" w:ascii="宋体" w:hAnsi="宋体"/>
          <w:b/>
          <w:sz w:val="32"/>
          <w:szCs w:val="32"/>
          <w:lang w:val="en-US" w:eastAsia="zh-CN"/>
        </w:rPr>
        <w:t>GB</w:t>
      </w:r>
      <w:r>
        <w:rPr>
          <w:rFonts w:hint="eastAsia" w:ascii="宋体" w:hAnsi="宋体"/>
          <w:b/>
          <w:sz w:val="32"/>
          <w:szCs w:val="32"/>
          <w:lang w:eastAsia="zh-CN"/>
        </w:rPr>
        <w:t>202</w:t>
      </w:r>
      <w:r>
        <w:rPr>
          <w:rFonts w:hint="eastAsia" w:ascii="宋体" w:hAnsi="宋体"/>
          <w:b/>
          <w:sz w:val="32"/>
          <w:szCs w:val="32"/>
          <w:lang w:val="en-US" w:eastAsia="zh-CN"/>
        </w:rPr>
        <w:t>5</w:t>
      </w:r>
      <w:r>
        <w:rPr>
          <w:rFonts w:hint="eastAsia" w:ascii="宋体" w:hAnsi="宋体"/>
          <w:b/>
          <w:sz w:val="32"/>
          <w:szCs w:val="32"/>
          <w:lang w:eastAsia="zh-CN"/>
        </w:rPr>
        <w:t>00</w:t>
      </w:r>
      <w:r>
        <w:rPr>
          <w:rFonts w:hint="eastAsia" w:ascii="宋体" w:hAnsi="宋体"/>
          <w:b/>
          <w:sz w:val="32"/>
          <w:szCs w:val="32"/>
          <w:lang w:val="en-US" w:eastAsia="zh-CN"/>
        </w:rPr>
        <w:t>5</w:t>
      </w:r>
    </w:p>
    <w:p w14:paraId="23EC588A">
      <w:pPr>
        <w:spacing w:line="360" w:lineRule="auto"/>
        <w:ind w:firstLine="643" w:firstLineChars="200"/>
        <w:rPr>
          <w:rFonts w:hint="eastAsia" w:eastAsia="宋体"/>
          <w:b/>
          <w:sz w:val="32"/>
          <w:szCs w:val="32"/>
          <w:lang w:eastAsia="zh-CN"/>
        </w:rPr>
      </w:pPr>
      <w:r>
        <w:rPr>
          <w:b/>
          <w:sz w:val="32"/>
          <w:szCs w:val="32"/>
        </w:rPr>
        <w:t>项目名称：</w:t>
      </w:r>
      <w:bookmarkStart w:id="4" w:name="_GoBack"/>
      <w:r>
        <w:rPr>
          <w:rFonts w:hint="eastAsia" w:ascii="宋体" w:hAnsi="宋体"/>
          <w:b/>
          <w:sz w:val="32"/>
          <w:szCs w:val="32"/>
          <w:lang w:eastAsia="zh-CN"/>
        </w:rPr>
        <w:t>202</w:t>
      </w:r>
      <w:r>
        <w:rPr>
          <w:rFonts w:hint="eastAsia" w:ascii="宋体" w:hAnsi="宋体"/>
          <w:b/>
          <w:sz w:val="32"/>
          <w:szCs w:val="32"/>
          <w:lang w:val="en-US" w:eastAsia="zh-CN"/>
        </w:rPr>
        <w:t>5</w:t>
      </w:r>
      <w:r>
        <w:rPr>
          <w:rFonts w:hint="eastAsia" w:ascii="宋体" w:hAnsi="宋体"/>
          <w:b/>
          <w:sz w:val="32"/>
          <w:szCs w:val="32"/>
          <w:lang w:eastAsia="zh-CN"/>
        </w:rPr>
        <w:t>年新生体检服务项目</w:t>
      </w:r>
      <w:bookmarkEnd w:id="4"/>
    </w:p>
    <w:p w14:paraId="44DED7A3">
      <w:pPr>
        <w:spacing w:line="360" w:lineRule="auto"/>
        <w:rPr>
          <w:b/>
          <w:sz w:val="32"/>
          <w:szCs w:val="32"/>
        </w:rPr>
      </w:pPr>
    </w:p>
    <w:p w14:paraId="69E32089">
      <w:pPr>
        <w:spacing w:line="360" w:lineRule="auto"/>
        <w:rPr>
          <w:b/>
          <w:sz w:val="32"/>
          <w:szCs w:val="32"/>
        </w:rPr>
      </w:pPr>
    </w:p>
    <w:p w14:paraId="4A571D79">
      <w:pPr>
        <w:spacing w:line="360" w:lineRule="auto"/>
        <w:rPr>
          <w:b/>
          <w:sz w:val="32"/>
          <w:szCs w:val="32"/>
        </w:rPr>
      </w:pPr>
    </w:p>
    <w:p w14:paraId="36437846">
      <w:pPr>
        <w:spacing w:line="360" w:lineRule="auto"/>
        <w:rPr>
          <w:b/>
          <w:bCs/>
          <w:sz w:val="32"/>
          <w:szCs w:val="32"/>
        </w:rPr>
      </w:pPr>
    </w:p>
    <w:p w14:paraId="221025AB">
      <w:pPr>
        <w:spacing w:line="360" w:lineRule="auto"/>
        <w:rPr>
          <w:b/>
          <w:bCs/>
          <w:sz w:val="32"/>
          <w:szCs w:val="32"/>
        </w:rPr>
      </w:pPr>
    </w:p>
    <w:p w14:paraId="55463DDA">
      <w:pPr>
        <w:spacing w:line="360" w:lineRule="auto"/>
        <w:rPr>
          <w:b/>
          <w:bCs/>
          <w:sz w:val="32"/>
          <w:szCs w:val="32"/>
        </w:rPr>
      </w:pPr>
    </w:p>
    <w:p w14:paraId="5DB8E1DA">
      <w:pPr>
        <w:spacing w:line="360" w:lineRule="auto"/>
        <w:rPr>
          <w:b/>
          <w:bCs/>
          <w:sz w:val="32"/>
          <w:szCs w:val="32"/>
        </w:rPr>
      </w:pPr>
    </w:p>
    <w:p w14:paraId="675ACE91">
      <w:pPr>
        <w:spacing w:line="360" w:lineRule="auto"/>
        <w:jc w:val="center"/>
        <w:rPr>
          <w:b/>
          <w:sz w:val="32"/>
          <w:szCs w:val="32"/>
        </w:rPr>
      </w:pPr>
      <w:r>
        <w:rPr>
          <w:rFonts w:hint="eastAsia"/>
          <w:b/>
          <w:sz w:val="32"/>
          <w:szCs w:val="32"/>
        </w:rPr>
        <w:t>广东省粤东技师学院物资招标采购中心编制</w:t>
      </w:r>
    </w:p>
    <w:p w14:paraId="07C93C0A">
      <w:pPr>
        <w:spacing w:line="360" w:lineRule="auto"/>
        <w:jc w:val="center"/>
        <w:rPr>
          <w:b/>
          <w:sz w:val="32"/>
          <w:szCs w:val="32"/>
        </w:rPr>
      </w:pPr>
      <w:r>
        <w:rPr>
          <w:b/>
          <w:sz w:val="32"/>
          <w:szCs w:val="32"/>
        </w:rPr>
        <w:t>发布日期：</w:t>
      </w:r>
      <w:r>
        <w:rPr>
          <w:rFonts w:hint="eastAsia"/>
          <w:b/>
          <w:sz w:val="32"/>
          <w:szCs w:val="32"/>
        </w:rPr>
        <w:t>202</w:t>
      </w:r>
      <w:r>
        <w:rPr>
          <w:rFonts w:hint="eastAsia"/>
          <w:b/>
          <w:sz w:val="32"/>
          <w:szCs w:val="32"/>
          <w:lang w:val="en-US" w:eastAsia="zh-CN"/>
        </w:rPr>
        <w:t>5</w:t>
      </w:r>
      <w:r>
        <w:rPr>
          <w:rFonts w:hint="eastAsia"/>
          <w:b/>
          <w:sz w:val="32"/>
          <w:szCs w:val="32"/>
        </w:rPr>
        <w:t>年</w:t>
      </w:r>
      <w:r>
        <w:rPr>
          <w:rFonts w:hint="eastAsia"/>
          <w:b/>
          <w:sz w:val="32"/>
          <w:szCs w:val="32"/>
          <w:lang w:val="en-US" w:eastAsia="zh-CN"/>
        </w:rPr>
        <w:t>9</w:t>
      </w:r>
      <w:r>
        <w:rPr>
          <w:b/>
          <w:sz w:val="32"/>
          <w:szCs w:val="32"/>
        </w:rPr>
        <w:t>月</w:t>
      </w:r>
      <w:r>
        <w:rPr>
          <w:rFonts w:hint="eastAsia"/>
          <w:b/>
          <w:sz w:val="32"/>
          <w:szCs w:val="32"/>
          <w:lang w:val="en-US" w:eastAsia="zh-CN"/>
        </w:rPr>
        <w:t>18</w:t>
      </w:r>
      <w:r>
        <w:rPr>
          <w:rFonts w:hint="eastAsia"/>
          <w:b/>
          <w:sz w:val="32"/>
          <w:szCs w:val="32"/>
        </w:rPr>
        <w:t>日</w:t>
      </w:r>
    </w:p>
    <w:p w14:paraId="4739D43B">
      <w:pPr>
        <w:spacing w:line="360" w:lineRule="auto"/>
        <w:jc w:val="center"/>
        <w:rPr>
          <w:b/>
          <w:kern w:val="28"/>
          <w:sz w:val="36"/>
          <w:szCs w:val="36"/>
        </w:rPr>
      </w:pPr>
    </w:p>
    <w:p w14:paraId="4BCF80FF">
      <w:pPr>
        <w:spacing w:line="360" w:lineRule="auto"/>
        <w:jc w:val="center"/>
        <w:rPr>
          <w:b/>
          <w:kern w:val="28"/>
          <w:sz w:val="36"/>
          <w:szCs w:val="36"/>
        </w:rPr>
      </w:pPr>
    </w:p>
    <w:p w14:paraId="3E9568F8">
      <w:pPr>
        <w:spacing w:line="360" w:lineRule="auto"/>
        <w:jc w:val="center"/>
        <w:rPr>
          <w:b/>
          <w:kern w:val="28"/>
          <w:sz w:val="36"/>
          <w:szCs w:val="36"/>
        </w:rPr>
      </w:pPr>
      <w:r>
        <w:rPr>
          <w:rFonts w:hint="eastAsia"/>
          <w:b/>
          <w:kern w:val="28"/>
          <w:sz w:val="36"/>
          <w:szCs w:val="36"/>
        </w:rPr>
        <w:t>投标邀请函</w:t>
      </w:r>
    </w:p>
    <w:p w14:paraId="1B376AE6">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广东省粤东技师学院就</w:t>
      </w:r>
      <w:r>
        <w:rPr>
          <w:rFonts w:hint="eastAsia" w:ascii="宋体" w:hAnsi="宋体"/>
          <w:sz w:val="24"/>
          <w:u w:val="single"/>
          <w:lang w:eastAsia="zh-CN"/>
        </w:rPr>
        <w:t>202</w:t>
      </w:r>
      <w:r>
        <w:rPr>
          <w:rFonts w:hint="eastAsia" w:ascii="宋体" w:hAnsi="宋体"/>
          <w:sz w:val="24"/>
          <w:u w:val="single"/>
          <w:lang w:val="en-US" w:eastAsia="zh-CN"/>
        </w:rPr>
        <w:t>5</w:t>
      </w:r>
      <w:r>
        <w:rPr>
          <w:rFonts w:hint="eastAsia" w:ascii="宋体" w:hAnsi="宋体"/>
          <w:sz w:val="24"/>
          <w:u w:val="single"/>
          <w:lang w:eastAsia="zh-CN"/>
        </w:rPr>
        <w:t>年新生体检服务项目</w:t>
      </w:r>
      <w:r>
        <w:rPr>
          <w:rFonts w:hint="eastAsia" w:ascii="宋体" w:hAnsi="宋体"/>
          <w:sz w:val="24"/>
        </w:rPr>
        <w:t>(采购编号：</w:t>
      </w:r>
      <w:r>
        <w:rPr>
          <w:rFonts w:hint="eastAsia" w:ascii="宋体" w:hAnsi="宋体"/>
          <w:sz w:val="24"/>
          <w:lang w:eastAsia="zh-CN"/>
        </w:rPr>
        <w:t>XGB2025005</w:t>
      </w:r>
      <w:r>
        <w:rPr>
          <w:rFonts w:hint="eastAsia" w:ascii="宋体" w:hAnsi="宋体"/>
          <w:sz w:val="24"/>
        </w:rPr>
        <w:t>)校内招标接受合格的投标人提交密封投标。有关事项如下：</w:t>
      </w:r>
    </w:p>
    <w:p w14:paraId="22D6E828">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b/>
          <w:sz w:val="24"/>
        </w:rPr>
      </w:pPr>
      <w:r>
        <w:rPr>
          <w:rFonts w:hint="eastAsia" w:ascii="宋体" w:hAnsi="宋体"/>
          <w:b/>
          <w:sz w:val="24"/>
        </w:rPr>
        <w:t>一、招标项目的名称、概况和预算</w:t>
      </w:r>
    </w:p>
    <w:p w14:paraId="472FEC63">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sz w:val="24"/>
          <w:lang w:eastAsia="zh-CN"/>
        </w:rPr>
      </w:pPr>
      <w:r>
        <w:rPr>
          <w:rFonts w:hint="eastAsia" w:ascii="宋体" w:hAnsi="宋体"/>
          <w:sz w:val="24"/>
        </w:rPr>
        <w:t>（一）项目名称：</w:t>
      </w:r>
      <w:r>
        <w:rPr>
          <w:rFonts w:hint="eastAsia" w:ascii="宋体" w:hAnsi="宋体"/>
          <w:sz w:val="24"/>
          <w:lang w:eastAsia="zh-CN"/>
        </w:rPr>
        <w:t>202</w:t>
      </w:r>
      <w:r>
        <w:rPr>
          <w:rFonts w:hint="eastAsia" w:ascii="宋体" w:hAnsi="宋体"/>
          <w:sz w:val="24"/>
          <w:lang w:val="en-US" w:eastAsia="zh-CN"/>
        </w:rPr>
        <w:t>5</w:t>
      </w:r>
      <w:r>
        <w:rPr>
          <w:rFonts w:hint="eastAsia" w:ascii="宋体" w:hAnsi="宋体"/>
          <w:sz w:val="24"/>
          <w:lang w:eastAsia="zh-CN"/>
        </w:rPr>
        <w:t>年新生体检服务项目</w:t>
      </w:r>
    </w:p>
    <w:p w14:paraId="5C635C22">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（二）项目概况和预算：</w:t>
      </w:r>
    </w:p>
    <w:p w14:paraId="4CDBC5DF">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1.项目内容、需求及简要技术要求：详见</w:t>
      </w:r>
      <w:r>
        <w:rPr>
          <w:rFonts w:hint="eastAsia" w:ascii="宋体" w:hAnsi="宋体"/>
          <w:sz w:val="24"/>
          <w:lang w:eastAsia="zh-CN"/>
        </w:rPr>
        <w:t>“</w:t>
      </w:r>
      <w:r>
        <w:rPr>
          <w:rFonts w:hint="eastAsia" w:ascii="宋体" w:hAnsi="宋体"/>
          <w:sz w:val="24"/>
        </w:rPr>
        <w:t>采购项目说明</w:t>
      </w:r>
      <w:r>
        <w:rPr>
          <w:rFonts w:hint="eastAsia" w:ascii="宋体" w:hAnsi="宋体"/>
          <w:sz w:val="24"/>
          <w:lang w:eastAsia="zh-CN"/>
        </w:rPr>
        <w:t>”</w:t>
      </w:r>
      <w:r>
        <w:rPr>
          <w:rFonts w:hint="eastAsia" w:ascii="宋体" w:hAnsi="宋体"/>
          <w:sz w:val="24"/>
        </w:rPr>
        <w:t>。</w:t>
      </w:r>
    </w:p>
    <w:p w14:paraId="07B53E47">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2.采购预算：</w:t>
      </w:r>
      <w:r>
        <w:rPr>
          <w:rFonts w:hint="eastAsia" w:ascii="宋体" w:hAnsi="宋体"/>
          <w:sz w:val="24"/>
          <w:lang w:eastAsia="zh-CN"/>
        </w:rPr>
        <w:t>202</w:t>
      </w:r>
      <w:r>
        <w:rPr>
          <w:rFonts w:hint="eastAsia" w:ascii="宋体" w:hAnsi="宋体"/>
          <w:sz w:val="24"/>
          <w:lang w:val="en-US" w:eastAsia="zh-CN"/>
        </w:rPr>
        <w:t>5</w:t>
      </w:r>
      <w:r>
        <w:rPr>
          <w:rFonts w:hint="eastAsia" w:ascii="宋体" w:hAnsi="宋体"/>
          <w:sz w:val="24"/>
          <w:lang w:eastAsia="zh-CN"/>
        </w:rPr>
        <w:t>年新生体检服务</w:t>
      </w:r>
      <w:r>
        <w:rPr>
          <w:rFonts w:hint="eastAsia" w:ascii="宋体" w:hAnsi="宋体"/>
          <w:sz w:val="24"/>
          <w:lang w:val="en-US" w:eastAsia="zh-CN"/>
        </w:rPr>
        <w:t>项目，</w:t>
      </w:r>
      <w:r>
        <w:rPr>
          <w:rFonts w:hint="eastAsia" w:ascii="宋体" w:hAnsi="宋体"/>
          <w:color w:val="auto"/>
          <w:sz w:val="24"/>
        </w:rPr>
        <w:t>最高限额</w:t>
      </w:r>
      <w:r>
        <w:rPr>
          <w:rFonts w:hint="eastAsia" w:ascii="宋体" w:hAnsi="宋体"/>
          <w:color w:val="auto"/>
          <w:sz w:val="24"/>
          <w:lang w:val="en-US" w:eastAsia="zh-CN"/>
        </w:rPr>
        <w:t>166560.00</w:t>
      </w:r>
      <w:r>
        <w:rPr>
          <w:rFonts w:hint="eastAsia" w:ascii="宋体" w:hAnsi="宋体"/>
          <w:color w:val="auto"/>
          <w:sz w:val="24"/>
        </w:rPr>
        <w:t>元。</w:t>
      </w:r>
      <w:r>
        <w:rPr>
          <w:rFonts w:hint="eastAsia" w:ascii="宋体" w:hAnsi="宋体"/>
          <w:bCs/>
          <w:color w:val="auto"/>
          <w:sz w:val="24"/>
        </w:rPr>
        <w:t>超过最高限价的投标报价为无效报价。</w:t>
      </w:r>
    </w:p>
    <w:p w14:paraId="6FED6BEE">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b/>
          <w:sz w:val="24"/>
        </w:rPr>
      </w:pPr>
      <w:r>
        <w:rPr>
          <w:rFonts w:hint="eastAsia" w:ascii="宋体" w:hAnsi="宋体"/>
          <w:b/>
          <w:sz w:val="24"/>
        </w:rPr>
        <w:t>二、合格投标人条件</w:t>
      </w:r>
    </w:p>
    <w:p w14:paraId="2A8F8F35">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1</w:t>
      </w:r>
      <w:r>
        <w:rPr>
          <w:rFonts w:hint="eastAsia" w:ascii="宋体" w:hAnsi="宋体"/>
          <w:sz w:val="24"/>
          <w:lang w:eastAsia="zh-CN"/>
        </w:rPr>
        <w:t>.</w:t>
      </w:r>
      <w:r>
        <w:rPr>
          <w:rFonts w:hint="eastAsia" w:ascii="宋体" w:hAnsi="宋体"/>
          <w:sz w:val="24"/>
        </w:rPr>
        <w:t>投标人应具备《政府采购法》第二十二条规定的条件(提供企业法人或者其他组织营业执照（或事业法人登记证或身份证等相关证明）副本复印件和及法人代表复印件并加盖公章)。</w:t>
      </w:r>
    </w:p>
    <w:p w14:paraId="47E48EB8">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2.未列入失信被执行人、重大税收违法失信主体、政府采购严重违法失信行为记录名单的供应商（提供在“信用中国”网站（www.creditchina.gov.cn）、中国政府采购网（www.ccgp.gov.cn）的查询结果截图为准；处罚期限届满的除外。如“信用中国”网站查询结果显示“没有找到您搜索的企业”或“没有找到您搜索数据”，视为没有上述三类不良信用记录（提供截图并盖公章，格式详见附件1）。</w:t>
      </w:r>
    </w:p>
    <w:p w14:paraId="304D9699">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Times New Roman"/>
          <w:sz w:val="24"/>
        </w:rPr>
      </w:pPr>
      <w:r>
        <w:rPr>
          <w:rFonts w:hint="eastAsia" w:ascii="宋体" w:hAnsi="宋体"/>
          <w:sz w:val="24"/>
        </w:rPr>
        <w:t>3.单位负责人为同一人或者存在直接控股、管理关系的不同供应商，不得参加同一包组投标或者未划分包组的同一招标项目的采购活动。如同时参加，则评审时均作无效投标处理（提供承诺函并盖公</w:t>
      </w:r>
      <w:r>
        <w:rPr>
          <w:rFonts w:hint="eastAsia" w:ascii="宋体" w:hAnsi="宋体" w:eastAsia="宋体" w:cs="Times New Roman"/>
          <w:sz w:val="24"/>
        </w:rPr>
        <w:t>章，格式详见附件2）。</w:t>
      </w:r>
    </w:p>
    <w:p w14:paraId="087D5BD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Times New Roman"/>
          <w:sz w:val="24"/>
        </w:rPr>
      </w:pPr>
      <w:r>
        <w:rPr>
          <w:rFonts w:hint="eastAsia" w:ascii="宋体" w:hAnsi="宋体" w:eastAsia="宋体" w:cs="Times New Roman"/>
          <w:sz w:val="24"/>
        </w:rPr>
        <w:t>4.投标人须具有有效的《医疗机构执业许可证》。</w:t>
      </w:r>
    </w:p>
    <w:p w14:paraId="3D22418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Times New Roman"/>
          <w:sz w:val="24"/>
        </w:rPr>
      </w:pPr>
      <w:r>
        <w:rPr>
          <w:rFonts w:hint="eastAsia" w:ascii="宋体" w:hAnsi="宋体" w:eastAsia="宋体" w:cs="Times New Roman"/>
          <w:sz w:val="24"/>
        </w:rPr>
        <w:t>5.本项目不接受联合体投标。</w:t>
      </w:r>
    </w:p>
    <w:p w14:paraId="79E93A60">
      <w:pPr>
        <w:keepNext w:val="0"/>
        <w:keepLines w:val="0"/>
        <w:pageBreakBefore w:val="0"/>
        <w:kinsoku/>
        <w:wordWrap/>
        <w:overflowPunct/>
        <w:topLinePunct w:val="0"/>
        <w:autoSpaceDE/>
        <w:autoSpaceDN/>
        <w:bidi w:val="0"/>
        <w:adjustRightInd/>
        <w:snapToGrid/>
        <w:spacing w:line="360" w:lineRule="auto"/>
        <w:ind w:firstLine="420"/>
        <w:textAlignment w:val="auto"/>
        <w:rPr>
          <w:rFonts w:hint="default" w:ascii="宋体" w:hAnsi="宋体" w:eastAsia="宋体"/>
          <w:b/>
          <w:sz w:val="24"/>
          <w:lang w:val="en-US" w:eastAsia="zh-CN"/>
        </w:rPr>
      </w:pPr>
      <w:r>
        <w:rPr>
          <w:rFonts w:hint="eastAsia" w:ascii="宋体" w:hAnsi="宋体"/>
          <w:b/>
          <w:sz w:val="24"/>
        </w:rPr>
        <w:t>三、</w:t>
      </w:r>
      <w:r>
        <w:rPr>
          <w:rFonts w:hint="eastAsia" w:ascii="宋体" w:hAnsi="宋体"/>
          <w:b/>
          <w:sz w:val="24"/>
          <w:lang w:val="en-US" w:eastAsia="zh-CN"/>
        </w:rPr>
        <w:t>获取</w:t>
      </w:r>
      <w:r>
        <w:rPr>
          <w:rFonts w:hint="eastAsia" w:ascii="宋体" w:hAnsi="宋体"/>
          <w:b/>
          <w:sz w:val="24"/>
        </w:rPr>
        <w:t>招标文件</w:t>
      </w:r>
      <w:r>
        <w:rPr>
          <w:rFonts w:hint="eastAsia" w:ascii="宋体" w:hAnsi="宋体"/>
          <w:b/>
          <w:sz w:val="24"/>
          <w:lang w:val="en-US" w:eastAsia="zh-CN"/>
        </w:rPr>
        <w:t>时间及方式</w:t>
      </w:r>
    </w:p>
    <w:p w14:paraId="538D17A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b w:val="0"/>
          <w:bCs/>
          <w:color w:val="000000"/>
          <w:sz w:val="24"/>
        </w:rPr>
      </w:pPr>
      <w:r>
        <w:rPr>
          <w:rFonts w:hint="eastAsia" w:ascii="宋体" w:hAnsi="宋体"/>
          <w:b w:val="0"/>
          <w:bCs/>
          <w:color w:val="000000"/>
          <w:sz w:val="24"/>
        </w:rPr>
        <w:t>1.报名时间：2025年</w:t>
      </w:r>
      <w:r>
        <w:rPr>
          <w:rFonts w:hint="eastAsia" w:ascii="宋体" w:hAnsi="宋体"/>
          <w:b w:val="0"/>
          <w:bCs/>
          <w:color w:val="000000"/>
          <w:sz w:val="24"/>
          <w:lang w:val="en-US" w:eastAsia="zh-CN"/>
        </w:rPr>
        <w:t>9</w:t>
      </w:r>
      <w:r>
        <w:rPr>
          <w:rFonts w:hint="eastAsia" w:ascii="宋体" w:hAnsi="宋体"/>
          <w:b w:val="0"/>
          <w:bCs/>
          <w:color w:val="000000"/>
          <w:sz w:val="24"/>
        </w:rPr>
        <w:t>月</w:t>
      </w:r>
      <w:r>
        <w:rPr>
          <w:rFonts w:hint="eastAsia" w:ascii="宋体" w:hAnsi="宋体"/>
          <w:b w:val="0"/>
          <w:bCs/>
          <w:color w:val="000000"/>
          <w:sz w:val="24"/>
          <w:lang w:val="en-US" w:eastAsia="zh-CN"/>
        </w:rPr>
        <w:t>18</w:t>
      </w:r>
      <w:r>
        <w:rPr>
          <w:rFonts w:hint="eastAsia" w:ascii="宋体" w:hAnsi="宋体"/>
          <w:b w:val="0"/>
          <w:bCs/>
          <w:color w:val="000000"/>
          <w:sz w:val="24"/>
        </w:rPr>
        <w:t>日至</w:t>
      </w:r>
      <w:r>
        <w:rPr>
          <w:rFonts w:hint="eastAsia" w:ascii="宋体" w:hAnsi="宋体"/>
          <w:b w:val="0"/>
          <w:bCs/>
          <w:color w:val="000000"/>
          <w:sz w:val="24"/>
          <w:lang w:val="en-US" w:eastAsia="zh-CN"/>
        </w:rPr>
        <w:t>24</w:t>
      </w:r>
      <w:r>
        <w:rPr>
          <w:rFonts w:hint="eastAsia" w:ascii="宋体" w:hAnsi="宋体"/>
          <w:b w:val="0"/>
          <w:bCs/>
          <w:color w:val="000000"/>
          <w:sz w:val="24"/>
        </w:rPr>
        <w:t>日。</w:t>
      </w:r>
    </w:p>
    <w:p w14:paraId="2BC2F2C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b w:val="0"/>
          <w:bCs/>
          <w:color w:val="000000"/>
          <w:sz w:val="24"/>
        </w:rPr>
      </w:pPr>
      <w:r>
        <w:rPr>
          <w:rFonts w:hint="eastAsia" w:ascii="宋体" w:hAnsi="宋体"/>
          <w:b w:val="0"/>
          <w:bCs/>
          <w:color w:val="000000"/>
          <w:sz w:val="24"/>
        </w:rPr>
        <w:t>2.获取方式：广东省粤东技师学院官网“通知公告栏”（https://www.gdydgj.com/）在线免费获取</w:t>
      </w:r>
      <w:r>
        <w:rPr>
          <w:rFonts w:hint="eastAsia" w:ascii="宋体" w:hAnsi="宋体"/>
          <w:b w:val="0"/>
          <w:bCs/>
          <w:color w:val="000000"/>
          <w:sz w:val="24"/>
          <w:lang w:val="en-US" w:eastAsia="zh-CN"/>
        </w:rPr>
        <w:t>招标</w:t>
      </w:r>
      <w:r>
        <w:rPr>
          <w:rFonts w:hint="eastAsia" w:ascii="宋体" w:hAnsi="宋体"/>
          <w:b w:val="0"/>
          <w:bCs/>
          <w:color w:val="000000"/>
          <w:sz w:val="24"/>
        </w:rPr>
        <w:t>文件。</w:t>
      </w:r>
    </w:p>
    <w:p w14:paraId="03897CC2">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b/>
          <w:color w:val="000000"/>
          <w:sz w:val="24"/>
        </w:rPr>
      </w:pPr>
      <w:r>
        <w:rPr>
          <w:rFonts w:hint="eastAsia" w:ascii="宋体" w:hAnsi="宋体"/>
          <w:b/>
          <w:color w:val="000000"/>
          <w:sz w:val="24"/>
        </w:rPr>
        <w:t>四、投标截止时间、开标时间及地点</w:t>
      </w:r>
    </w:p>
    <w:p w14:paraId="7383E6AC">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w:t>
      </w:r>
      <w:r>
        <w:rPr>
          <w:rFonts w:hint="eastAsia" w:ascii="宋体" w:hAnsi="宋体"/>
          <w:color w:val="000000"/>
          <w:sz w:val="24"/>
        </w:rPr>
        <w:t>投标截止时间：202</w:t>
      </w:r>
      <w:r>
        <w:rPr>
          <w:rFonts w:hint="eastAsia" w:ascii="宋体" w:hAnsi="宋体"/>
          <w:color w:val="000000"/>
          <w:sz w:val="24"/>
          <w:lang w:val="en-US" w:eastAsia="zh-CN"/>
        </w:rPr>
        <w:t>5</w:t>
      </w:r>
      <w:r>
        <w:rPr>
          <w:rFonts w:hint="eastAsia" w:ascii="宋体" w:hAnsi="宋体"/>
          <w:color w:val="000000"/>
          <w:sz w:val="24"/>
        </w:rPr>
        <w:t>年</w:t>
      </w:r>
      <w:r>
        <w:rPr>
          <w:rFonts w:hint="eastAsia" w:ascii="宋体" w:hAnsi="宋体"/>
          <w:color w:val="000000"/>
          <w:sz w:val="24"/>
          <w:u w:val="single"/>
          <w:lang w:val="en-US" w:eastAsia="zh-CN"/>
        </w:rPr>
        <w:t>9</w:t>
      </w:r>
      <w:r>
        <w:rPr>
          <w:rFonts w:hint="eastAsia" w:ascii="宋体" w:hAnsi="宋体"/>
          <w:color w:val="000000"/>
          <w:sz w:val="24"/>
        </w:rPr>
        <w:t>月</w:t>
      </w:r>
      <w:r>
        <w:rPr>
          <w:rFonts w:hint="eastAsia" w:ascii="宋体" w:hAnsi="宋体"/>
          <w:color w:val="000000"/>
          <w:sz w:val="24"/>
          <w:u w:val="single"/>
          <w:lang w:val="en-US" w:eastAsia="zh-CN"/>
        </w:rPr>
        <w:t>25</w:t>
      </w:r>
      <w:r>
        <w:rPr>
          <w:rFonts w:hint="eastAsia" w:ascii="宋体" w:hAnsi="宋体"/>
          <w:color w:val="000000"/>
          <w:sz w:val="24"/>
        </w:rPr>
        <w:t>日</w:t>
      </w:r>
      <w:r>
        <w:rPr>
          <w:rFonts w:hint="eastAsia" w:ascii="宋体" w:hAnsi="宋体"/>
          <w:color w:val="000000"/>
          <w:sz w:val="24"/>
          <w:lang w:val="en-US" w:eastAsia="zh-CN"/>
        </w:rPr>
        <w:t>10</w:t>
      </w:r>
      <w:r>
        <w:rPr>
          <w:rFonts w:hint="eastAsia" w:ascii="宋体" w:hAnsi="宋体"/>
          <w:color w:val="000000"/>
          <w:sz w:val="24"/>
        </w:rPr>
        <w:t>时00分。</w:t>
      </w:r>
    </w:p>
    <w:p w14:paraId="1F69D1AA">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olor w:val="000000"/>
          <w:sz w:val="24"/>
        </w:rPr>
      </w:pPr>
      <w:r>
        <w:rPr>
          <w:rFonts w:hint="eastAsia" w:ascii="宋体" w:hAnsi="宋体"/>
          <w:bCs/>
          <w:color w:val="000000"/>
          <w:sz w:val="24"/>
        </w:rPr>
        <w:t>2．报价文件送达地点：</w:t>
      </w:r>
      <w:r>
        <w:rPr>
          <w:rFonts w:hint="eastAsia" w:ascii="宋体" w:hAnsi="宋体"/>
          <w:sz w:val="24"/>
          <w:lang w:eastAsia="zh-CN"/>
        </w:rPr>
        <w:t>汕头市濠江区北山湾路32号广东省粤东技师学院行政楼三楼314室</w:t>
      </w:r>
      <w:r>
        <w:rPr>
          <w:rFonts w:hint="eastAsia" w:ascii="宋体" w:hAnsi="宋体"/>
          <w:sz w:val="24"/>
        </w:rPr>
        <w:t>物资招标采购中心</w:t>
      </w:r>
      <w:r>
        <w:rPr>
          <w:rFonts w:hint="eastAsia" w:ascii="宋体" w:hAnsi="宋体"/>
          <w:bCs/>
          <w:color w:val="000000"/>
          <w:sz w:val="24"/>
        </w:rPr>
        <w:t>（密封件加盖公章）。</w:t>
      </w:r>
    </w:p>
    <w:p w14:paraId="58741A25">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color w:val="000000"/>
          <w:sz w:val="24"/>
        </w:rPr>
        <w:t>3</w:t>
      </w:r>
      <w:r>
        <w:rPr>
          <w:rFonts w:hint="eastAsia" w:ascii="宋体" w:hAnsi="宋体"/>
          <w:color w:val="000000"/>
          <w:sz w:val="24"/>
          <w:lang w:eastAsia="zh-CN"/>
        </w:rPr>
        <w:t>.</w:t>
      </w:r>
      <w:r>
        <w:rPr>
          <w:rFonts w:hint="eastAsia" w:ascii="宋体" w:hAnsi="宋体"/>
          <w:color w:val="000000"/>
          <w:sz w:val="24"/>
        </w:rPr>
        <w:t>开标评标时间：202</w:t>
      </w:r>
      <w:r>
        <w:rPr>
          <w:rFonts w:hint="eastAsia" w:ascii="宋体" w:hAnsi="宋体"/>
          <w:color w:val="000000"/>
          <w:sz w:val="24"/>
          <w:lang w:val="en-US" w:eastAsia="zh-CN"/>
        </w:rPr>
        <w:t>5</w:t>
      </w:r>
      <w:r>
        <w:rPr>
          <w:rFonts w:hint="eastAsia" w:ascii="宋体" w:hAnsi="宋体"/>
          <w:color w:val="000000"/>
          <w:sz w:val="24"/>
        </w:rPr>
        <w:t>年</w:t>
      </w:r>
      <w:r>
        <w:rPr>
          <w:rFonts w:hint="eastAsia" w:ascii="宋体" w:hAnsi="宋体"/>
          <w:color w:val="000000"/>
          <w:sz w:val="24"/>
          <w:lang w:val="en-US" w:eastAsia="zh-CN"/>
        </w:rPr>
        <w:t>9</w:t>
      </w:r>
      <w:r>
        <w:rPr>
          <w:rFonts w:hint="eastAsia" w:ascii="宋体" w:hAnsi="宋体"/>
          <w:color w:val="000000"/>
          <w:sz w:val="24"/>
        </w:rPr>
        <w:t>月</w:t>
      </w:r>
      <w:r>
        <w:rPr>
          <w:rFonts w:hint="eastAsia" w:ascii="宋体" w:hAnsi="宋体"/>
          <w:color w:val="000000"/>
          <w:sz w:val="24"/>
          <w:u w:val="single"/>
          <w:lang w:val="en-US" w:eastAsia="zh-CN"/>
        </w:rPr>
        <w:t>25</w:t>
      </w:r>
      <w:r>
        <w:rPr>
          <w:rFonts w:hint="eastAsia" w:ascii="宋体" w:hAnsi="宋体"/>
          <w:color w:val="000000"/>
          <w:sz w:val="24"/>
        </w:rPr>
        <w:t>日</w:t>
      </w:r>
      <w:r>
        <w:rPr>
          <w:rFonts w:hint="eastAsia" w:ascii="宋体" w:hAnsi="宋体"/>
          <w:color w:val="000000"/>
          <w:sz w:val="24"/>
          <w:lang w:val="en-US" w:eastAsia="zh-CN"/>
        </w:rPr>
        <w:t>10</w:t>
      </w:r>
      <w:r>
        <w:rPr>
          <w:rFonts w:hint="eastAsia" w:ascii="宋体" w:hAnsi="宋体"/>
          <w:color w:val="000000"/>
          <w:sz w:val="24"/>
        </w:rPr>
        <w:t>时00分</w:t>
      </w:r>
      <w:r>
        <w:rPr>
          <w:rFonts w:hint="eastAsia" w:ascii="宋体" w:hAnsi="宋体"/>
          <w:sz w:val="24"/>
        </w:rPr>
        <w:t>。</w:t>
      </w:r>
    </w:p>
    <w:p w14:paraId="2D3A3A83">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4</w:t>
      </w:r>
      <w:r>
        <w:rPr>
          <w:rFonts w:hint="eastAsia" w:ascii="宋体" w:hAnsi="宋体"/>
          <w:sz w:val="24"/>
          <w:lang w:eastAsia="zh-CN"/>
        </w:rPr>
        <w:t>.</w:t>
      </w:r>
      <w:r>
        <w:rPr>
          <w:rFonts w:hint="eastAsia" w:ascii="宋体" w:hAnsi="宋体"/>
          <w:sz w:val="24"/>
        </w:rPr>
        <w:t>开标地点：</w:t>
      </w:r>
      <w:r>
        <w:rPr>
          <w:rFonts w:hint="eastAsia" w:ascii="宋体" w:hAnsi="宋体"/>
          <w:sz w:val="24"/>
          <w:lang w:eastAsia="zh-CN"/>
        </w:rPr>
        <w:t>汕头市濠江区北山湾路32号广东省粤东技师学院行政楼三楼314室</w:t>
      </w:r>
      <w:r>
        <w:rPr>
          <w:rFonts w:hint="eastAsia" w:ascii="宋体" w:hAnsi="宋体"/>
          <w:sz w:val="24"/>
        </w:rPr>
        <w:t>物资招标采购中心</w:t>
      </w:r>
      <w:r>
        <w:rPr>
          <w:rFonts w:hint="eastAsia" w:ascii="宋体" w:hAnsi="宋体"/>
          <w:color w:val="000000"/>
          <w:sz w:val="24"/>
        </w:rPr>
        <w:t>。</w:t>
      </w:r>
    </w:p>
    <w:p w14:paraId="320D7920">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b/>
          <w:sz w:val="24"/>
        </w:rPr>
      </w:pPr>
      <w:r>
        <w:rPr>
          <w:rFonts w:hint="eastAsia" w:ascii="宋体" w:hAnsi="宋体"/>
          <w:b/>
          <w:sz w:val="24"/>
        </w:rPr>
        <w:t>五、采购人联系方式</w:t>
      </w:r>
    </w:p>
    <w:p w14:paraId="114B341F">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联系部门：广东省粤东技师学院物资招标采购中心</w:t>
      </w:r>
    </w:p>
    <w:p w14:paraId="68E7EAE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sz w:val="24"/>
          <w:lang w:eastAsia="zh-CN"/>
        </w:rPr>
      </w:pPr>
      <w:r>
        <w:rPr>
          <w:rFonts w:hint="eastAsia" w:ascii="宋体" w:hAnsi="宋体"/>
          <w:sz w:val="24"/>
        </w:rPr>
        <w:t>联系地址：</w:t>
      </w:r>
      <w:r>
        <w:rPr>
          <w:rFonts w:hint="eastAsia" w:ascii="宋体" w:hAnsi="宋体"/>
          <w:sz w:val="24"/>
          <w:lang w:eastAsia="zh-CN"/>
        </w:rPr>
        <w:t>汕头市濠江区北山湾路32号广东省粤东技师学院行政楼三楼314室</w:t>
      </w:r>
    </w:p>
    <w:p w14:paraId="32AF0A20">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联系人：</w:t>
      </w:r>
      <w:r>
        <w:rPr>
          <w:rFonts w:hint="eastAsia" w:ascii="宋体" w:hAnsi="宋体"/>
          <w:sz w:val="24"/>
          <w:lang w:eastAsia="zh-CN"/>
        </w:rPr>
        <w:t>李</w:t>
      </w:r>
      <w:r>
        <w:rPr>
          <w:rFonts w:hint="eastAsia" w:ascii="宋体" w:hAnsi="宋体"/>
          <w:sz w:val="24"/>
        </w:rPr>
        <w:t>老师</w:t>
      </w:r>
    </w:p>
    <w:p w14:paraId="7FB7B6C1">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联系方式：</w:t>
      </w:r>
      <w:r>
        <w:rPr>
          <w:rFonts w:hint="eastAsia" w:ascii="宋体" w:hAnsi="宋体"/>
          <w:color w:val="000000"/>
          <w:sz w:val="24"/>
        </w:rPr>
        <w:t>0754-89690115、0574-88307771</w:t>
      </w:r>
    </w:p>
    <w:p w14:paraId="10387627">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ascii="宋体" w:hAnsi="宋体" w:cs="宋体"/>
          <w:bCs/>
          <w:kern w:val="0"/>
          <w:sz w:val="24"/>
        </w:rPr>
      </w:pPr>
    </w:p>
    <w:p w14:paraId="2EA30CE4">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ascii="宋体" w:hAnsi="宋体" w:cs="宋体"/>
          <w:bCs/>
          <w:kern w:val="0"/>
          <w:sz w:val="24"/>
        </w:rPr>
      </w:pPr>
    </w:p>
    <w:p w14:paraId="70CF9D43">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ascii="宋体" w:hAnsi="宋体" w:cs="宋体"/>
          <w:bCs/>
          <w:kern w:val="0"/>
          <w:sz w:val="24"/>
        </w:rPr>
      </w:pPr>
      <w:r>
        <w:rPr>
          <w:rFonts w:hint="eastAsia" w:ascii="宋体" w:hAnsi="宋体" w:cs="宋体"/>
          <w:bCs/>
          <w:kern w:val="0"/>
          <w:sz w:val="24"/>
        </w:rPr>
        <w:t xml:space="preserve">                  </w:t>
      </w:r>
    </w:p>
    <w:p w14:paraId="20FA278F">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ascii="宋体" w:hAnsi="宋体" w:cs="宋体"/>
          <w:bCs/>
          <w:kern w:val="0"/>
          <w:sz w:val="24"/>
        </w:rPr>
      </w:pPr>
      <w:r>
        <w:rPr>
          <w:rFonts w:hint="eastAsia" w:ascii="宋体" w:hAnsi="宋体" w:cs="宋体"/>
          <w:bCs/>
          <w:kern w:val="0"/>
          <w:sz w:val="24"/>
        </w:rPr>
        <w:t xml:space="preserve">            广东省粤东技师学院</w:t>
      </w:r>
    </w:p>
    <w:p w14:paraId="40F09B7D">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cs="宋体"/>
          <w:bCs/>
          <w:kern w:val="0"/>
          <w:sz w:val="24"/>
        </w:rPr>
        <w:t>                  202</w:t>
      </w:r>
      <w:r>
        <w:rPr>
          <w:rFonts w:hint="eastAsia" w:ascii="宋体" w:hAnsi="宋体" w:cs="宋体"/>
          <w:bCs/>
          <w:kern w:val="0"/>
          <w:sz w:val="24"/>
          <w:lang w:val="en-US" w:eastAsia="zh-CN"/>
        </w:rPr>
        <w:t>5</w:t>
      </w:r>
      <w:r>
        <w:rPr>
          <w:rFonts w:hint="eastAsia" w:ascii="宋体" w:hAnsi="宋体" w:cs="宋体"/>
          <w:bCs/>
          <w:kern w:val="0"/>
          <w:sz w:val="24"/>
        </w:rPr>
        <w:t>年</w:t>
      </w:r>
      <w:r>
        <w:rPr>
          <w:rFonts w:hint="eastAsia" w:ascii="宋体" w:hAnsi="宋体" w:cs="宋体"/>
          <w:bCs/>
          <w:kern w:val="0"/>
          <w:sz w:val="24"/>
          <w:lang w:val="en-US" w:eastAsia="zh-CN"/>
        </w:rPr>
        <w:t>9</w:t>
      </w:r>
      <w:r>
        <w:rPr>
          <w:rFonts w:hint="eastAsia" w:ascii="宋体" w:hAnsi="宋体" w:cs="宋体"/>
          <w:bCs/>
          <w:kern w:val="0"/>
          <w:sz w:val="24"/>
        </w:rPr>
        <w:t>月</w:t>
      </w:r>
      <w:r>
        <w:rPr>
          <w:rFonts w:hint="eastAsia" w:ascii="宋体" w:hAnsi="宋体" w:cs="宋体"/>
          <w:bCs/>
          <w:kern w:val="0"/>
          <w:sz w:val="24"/>
          <w:lang w:val="en-US" w:eastAsia="zh-CN"/>
        </w:rPr>
        <w:t>18</w:t>
      </w:r>
      <w:r>
        <w:rPr>
          <w:rFonts w:hint="eastAsia" w:ascii="宋体" w:hAnsi="宋体" w:cs="宋体"/>
          <w:bCs/>
          <w:kern w:val="0"/>
          <w:sz w:val="24"/>
        </w:rPr>
        <w:t>日</w:t>
      </w:r>
    </w:p>
    <w:p w14:paraId="63F7656F">
      <w:pPr>
        <w:spacing w:line="360" w:lineRule="auto"/>
        <w:jc w:val="center"/>
        <w:rPr>
          <w:kern w:val="28"/>
          <w:sz w:val="36"/>
          <w:szCs w:val="36"/>
        </w:rPr>
      </w:pPr>
    </w:p>
    <w:p w14:paraId="59F55441">
      <w:pPr>
        <w:spacing w:line="360" w:lineRule="auto"/>
        <w:jc w:val="center"/>
        <w:rPr>
          <w:kern w:val="28"/>
          <w:sz w:val="36"/>
          <w:szCs w:val="36"/>
        </w:rPr>
      </w:pPr>
    </w:p>
    <w:p w14:paraId="479F11A1">
      <w:pPr>
        <w:spacing w:line="360" w:lineRule="auto"/>
        <w:jc w:val="center"/>
        <w:rPr>
          <w:kern w:val="28"/>
          <w:sz w:val="36"/>
          <w:szCs w:val="36"/>
        </w:rPr>
      </w:pPr>
    </w:p>
    <w:p w14:paraId="14FDFC4D">
      <w:pPr>
        <w:spacing w:line="360" w:lineRule="auto"/>
        <w:jc w:val="center"/>
        <w:rPr>
          <w:kern w:val="28"/>
          <w:sz w:val="36"/>
          <w:szCs w:val="36"/>
        </w:rPr>
      </w:pPr>
    </w:p>
    <w:p w14:paraId="53B7E428">
      <w:pPr>
        <w:spacing w:line="360" w:lineRule="auto"/>
        <w:jc w:val="center"/>
        <w:rPr>
          <w:kern w:val="28"/>
          <w:sz w:val="36"/>
          <w:szCs w:val="36"/>
        </w:rPr>
      </w:pPr>
    </w:p>
    <w:p w14:paraId="57ABCB65">
      <w:pPr>
        <w:spacing w:line="360" w:lineRule="auto"/>
        <w:jc w:val="center"/>
        <w:rPr>
          <w:kern w:val="28"/>
          <w:sz w:val="36"/>
          <w:szCs w:val="36"/>
        </w:rPr>
      </w:pPr>
    </w:p>
    <w:p w14:paraId="66E69E37">
      <w:pPr>
        <w:spacing w:line="360" w:lineRule="auto"/>
        <w:jc w:val="center"/>
        <w:rPr>
          <w:kern w:val="28"/>
          <w:sz w:val="36"/>
          <w:szCs w:val="36"/>
        </w:rPr>
      </w:pPr>
    </w:p>
    <w:p w14:paraId="2654C11D">
      <w:pPr>
        <w:spacing w:line="360" w:lineRule="auto"/>
        <w:jc w:val="center"/>
        <w:rPr>
          <w:kern w:val="28"/>
          <w:sz w:val="36"/>
          <w:szCs w:val="36"/>
        </w:rPr>
      </w:pPr>
    </w:p>
    <w:p w14:paraId="2A5F80FA">
      <w:pPr>
        <w:spacing w:line="360" w:lineRule="auto"/>
        <w:jc w:val="center"/>
        <w:rPr>
          <w:kern w:val="28"/>
          <w:sz w:val="36"/>
          <w:szCs w:val="36"/>
        </w:rPr>
      </w:pPr>
    </w:p>
    <w:p w14:paraId="48AAC547">
      <w:pPr>
        <w:spacing w:line="360" w:lineRule="auto"/>
        <w:jc w:val="center"/>
        <w:rPr>
          <w:kern w:val="28"/>
          <w:sz w:val="36"/>
          <w:szCs w:val="36"/>
        </w:rPr>
      </w:pPr>
    </w:p>
    <w:p w14:paraId="79E132D7">
      <w:pPr>
        <w:spacing w:line="360" w:lineRule="auto"/>
        <w:jc w:val="center"/>
        <w:rPr>
          <w:kern w:val="28"/>
          <w:sz w:val="36"/>
          <w:szCs w:val="36"/>
        </w:rPr>
      </w:pPr>
    </w:p>
    <w:p w14:paraId="5C85CBCA">
      <w:pPr>
        <w:spacing w:line="360" w:lineRule="auto"/>
        <w:jc w:val="center"/>
        <w:rPr>
          <w:kern w:val="28"/>
          <w:sz w:val="36"/>
          <w:szCs w:val="36"/>
        </w:rPr>
      </w:pPr>
    </w:p>
    <w:p w14:paraId="179B4837">
      <w:pPr>
        <w:spacing w:line="360" w:lineRule="auto"/>
        <w:jc w:val="center"/>
        <w:rPr>
          <w:kern w:val="28"/>
          <w:sz w:val="36"/>
          <w:szCs w:val="36"/>
        </w:rPr>
      </w:pPr>
    </w:p>
    <w:p w14:paraId="4F6E1207">
      <w:pPr>
        <w:spacing w:line="360" w:lineRule="auto"/>
        <w:jc w:val="center"/>
        <w:rPr>
          <w:kern w:val="28"/>
          <w:sz w:val="36"/>
          <w:szCs w:val="36"/>
        </w:rPr>
      </w:pPr>
    </w:p>
    <w:p w14:paraId="6444FB0E">
      <w:pPr>
        <w:spacing w:line="360" w:lineRule="auto"/>
        <w:jc w:val="center"/>
        <w:rPr>
          <w:kern w:val="28"/>
          <w:sz w:val="36"/>
          <w:szCs w:val="36"/>
        </w:rPr>
      </w:pPr>
    </w:p>
    <w:p w14:paraId="67526D20">
      <w:pPr>
        <w:spacing w:line="360" w:lineRule="auto"/>
        <w:jc w:val="center"/>
        <w:rPr>
          <w:rFonts w:hint="eastAsia"/>
          <w:kern w:val="28"/>
          <w:sz w:val="36"/>
          <w:szCs w:val="36"/>
        </w:rPr>
      </w:pPr>
      <w:r>
        <w:rPr>
          <w:rFonts w:hint="eastAsia"/>
          <w:kern w:val="28"/>
          <w:sz w:val="36"/>
          <w:szCs w:val="36"/>
        </w:rPr>
        <w:t>采购项目说明</w:t>
      </w:r>
    </w:p>
    <w:p w14:paraId="5F16703C">
      <w:pPr>
        <w:pStyle w:val="7"/>
        <w:numPr>
          <w:ilvl w:val="0"/>
          <w:numId w:val="1"/>
        </w:numPr>
        <w:tabs>
          <w:tab w:val="left" w:pos="540"/>
        </w:tabs>
        <w:snapToGrid w:val="0"/>
        <w:spacing w:line="360" w:lineRule="auto"/>
        <w:rPr>
          <w:rFonts w:asciiTheme="majorEastAsia" w:hAnsiTheme="majorEastAsia" w:eastAsiaTheme="majorEastAsia"/>
          <w:b/>
          <w:color w:val="auto"/>
          <w:sz w:val="24"/>
          <w:szCs w:val="24"/>
        </w:rPr>
      </w:pPr>
      <w:r>
        <w:rPr>
          <w:rFonts w:hint="eastAsia" w:asciiTheme="majorEastAsia" w:hAnsiTheme="majorEastAsia" w:eastAsiaTheme="majorEastAsia"/>
          <w:b/>
          <w:color w:val="auto"/>
          <w:sz w:val="24"/>
          <w:szCs w:val="24"/>
        </w:rPr>
        <w:t>服务内容</w:t>
      </w:r>
    </w:p>
    <w:p w14:paraId="4EE23046">
      <w:pPr>
        <w:pStyle w:val="7"/>
        <w:numPr>
          <w:ilvl w:val="0"/>
          <w:numId w:val="0"/>
        </w:numPr>
        <w:tabs>
          <w:tab w:val="left" w:pos="540"/>
        </w:tabs>
        <w:snapToGrid w:val="0"/>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202</w:t>
      </w:r>
      <w:r>
        <w:rPr>
          <w:rFonts w:hint="eastAsia" w:hAnsi="宋体"/>
          <w:sz w:val="24"/>
          <w:szCs w:val="24"/>
          <w:lang w:val="en-US" w:eastAsia="zh-CN"/>
        </w:rPr>
        <w:t>5</w:t>
      </w:r>
      <w:r>
        <w:rPr>
          <w:rFonts w:hint="eastAsia" w:ascii="宋体" w:hAnsi="宋体"/>
          <w:sz w:val="24"/>
          <w:szCs w:val="24"/>
          <w:lang w:val="en-US" w:eastAsia="zh-CN"/>
        </w:rPr>
        <w:t>年新生入学工作需要，拟采购新生体检服务，预计学院三个校区一个教学点共4800人，体检费</w:t>
      </w:r>
      <w:r>
        <w:rPr>
          <w:rFonts w:hint="eastAsia" w:hAnsi="宋体"/>
          <w:sz w:val="24"/>
          <w:szCs w:val="24"/>
          <w:lang w:val="en-US" w:eastAsia="zh-CN"/>
        </w:rPr>
        <w:t>按</w:t>
      </w:r>
      <w:r>
        <w:rPr>
          <w:rFonts w:hint="eastAsia" w:ascii="宋体" w:hAnsi="宋体"/>
          <w:sz w:val="24"/>
          <w:szCs w:val="24"/>
          <w:lang w:val="en-US" w:eastAsia="zh-CN"/>
        </w:rPr>
        <w:t>每</w:t>
      </w:r>
      <w:r>
        <w:rPr>
          <w:rFonts w:hint="eastAsia" w:hAnsi="宋体"/>
          <w:sz w:val="24"/>
          <w:szCs w:val="24"/>
          <w:lang w:val="en-US" w:eastAsia="zh-CN"/>
        </w:rPr>
        <w:t>位学生</w:t>
      </w:r>
      <w:r>
        <w:rPr>
          <w:rFonts w:hint="eastAsia" w:ascii="宋体" w:hAnsi="宋体"/>
          <w:sz w:val="24"/>
          <w:szCs w:val="24"/>
          <w:lang w:val="en-US" w:eastAsia="zh-CN"/>
        </w:rPr>
        <w:t>生34.</w:t>
      </w:r>
      <w:r>
        <w:rPr>
          <w:rFonts w:hint="eastAsia" w:hAnsi="宋体"/>
          <w:sz w:val="24"/>
          <w:szCs w:val="24"/>
          <w:lang w:val="en-US" w:eastAsia="zh-CN"/>
        </w:rPr>
        <w:t>70</w:t>
      </w:r>
      <w:r>
        <w:rPr>
          <w:rFonts w:hint="eastAsia" w:ascii="宋体" w:hAnsi="宋体"/>
          <w:sz w:val="24"/>
          <w:szCs w:val="24"/>
          <w:lang w:val="en-US" w:eastAsia="zh-CN"/>
        </w:rPr>
        <w:t>元</w:t>
      </w:r>
      <w:r>
        <w:rPr>
          <w:rFonts w:hint="eastAsia" w:hAnsi="宋体"/>
          <w:sz w:val="24"/>
          <w:szCs w:val="24"/>
          <w:lang w:val="en-US" w:eastAsia="zh-CN"/>
        </w:rPr>
        <w:t>计算</w:t>
      </w:r>
      <w:r>
        <w:rPr>
          <w:rFonts w:hint="eastAsia" w:ascii="宋体" w:hAnsi="宋体"/>
          <w:sz w:val="24"/>
          <w:szCs w:val="24"/>
          <w:lang w:val="en-US" w:eastAsia="zh-CN"/>
        </w:rPr>
        <w:t>，费用总预算166560</w:t>
      </w:r>
      <w:r>
        <w:rPr>
          <w:rFonts w:hint="eastAsia" w:hAnsi="宋体"/>
          <w:sz w:val="24"/>
          <w:szCs w:val="24"/>
          <w:lang w:val="en-US" w:eastAsia="zh-CN"/>
        </w:rPr>
        <w:t>.00</w:t>
      </w:r>
      <w:r>
        <w:rPr>
          <w:rFonts w:hint="eastAsia" w:ascii="宋体" w:hAnsi="宋体"/>
          <w:sz w:val="24"/>
          <w:szCs w:val="24"/>
          <w:lang w:val="en-US" w:eastAsia="zh-CN"/>
        </w:rPr>
        <w:t>元。</w:t>
      </w:r>
    </w:p>
    <w:p w14:paraId="6AC4F4A9">
      <w:pPr>
        <w:pStyle w:val="7"/>
        <w:numPr>
          <w:ilvl w:val="0"/>
          <w:numId w:val="0"/>
        </w:numPr>
        <w:tabs>
          <w:tab w:val="left" w:pos="540"/>
        </w:tabs>
        <w:snapToGrid w:val="0"/>
        <w:spacing w:line="360" w:lineRule="auto"/>
        <w:rPr>
          <w:rFonts w:asciiTheme="majorEastAsia" w:hAnsiTheme="majorEastAsia" w:eastAsiaTheme="majorEastAsia"/>
          <w:b/>
          <w:color w:val="auto"/>
          <w:sz w:val="24"/>
          <w:szCs w:val="24"/>
        </w:rPr>
      </w:pPr>
      <w:r>
        <w:rPr>
          <w:rFonts w:hint="eastAsia" w:hAnsi="宋体"/>
          <w:sz w:val="24"/>
          <w:szCs w:val="24"/>
          <w:lang w:val="en-US" w:eastAsia="zh-CN"/>
        </w:rPr>
        <w:t>二、</w:t>
      </w:r>
      <w:r>
        <w:rPr>
          <w:rFonts w:hint="eastAsia" w:asciiTheme="majorEastAsia" w:hAnsiTheme="majorEastAsia" w:eastAsiaTheme="majorEastAsia"/>
          <w:b/>
          <w:color w:val="auto"/>
          <w:sz w:val="24"/>
          <w:szCs w:val="24"/>
        </w:rPr>
        <w:t>服务要求</w:t>
      </w:r>
    </w:p>
    <w:p w14:paraId="0B941103">
      <w:pPr>
        <w:spacing w:line="360" w:lineRule="auto"/>
        <w:ind w:firstLine="420"/>
        <w:rPr>
          <w:rFonts w:hint="eastAsia" w:ascii="宋体" w:hAnsi="宋体" w:eastAsia="宋体" w:cs="Times New Roman"/>
          <w:color w:val="000000"/>
          <w:sz w:val="24"/>
        </w:rPr>
      </w:pPr>
      <w:r>
        <w:rPr>
          <w:rFonts w:hint="eastAsia" w:ascii="宋体" w:hAnsi="宋体" w:eastAsia="宋体" w:cs="Times New Roman"/>
          <w:color w:val="000000"/>
          <w:sz w:val="24"/>
          <w:lang w:eastAsia="zh-CN"/>
        </w:rPr>
        <w:t>（一）</w:t>
      </w:r>
      <w:r>
        <w:rPr>
          <w:rFonts w:hint="eastAsia" w:ascii="宋体" w:hAnsi="宋体" w:eastAsia="宋体" w:cs="Times New Roman"/>
          <w:color w:val="000000"/>
          <w:sz w:val="24"/>
        </w:rPr>
        <w:t>人均体检</w:t>
      </w:r>
      <w:r>
        <w:rPr>
          <w:rFonts w:hint="eastAsia" w:ascii="宋体" w:hAnsi="宋体" w:eastAsia="宋体" w:cs="Times New Roman"/>
          <w:color w:val="000000"/>
          <w:sz w:val="24"/>
          <w:lang w:val="en-US" w:eastAsia="zh-CN"/>
        </w:rPr>
        <w:t>单价限价为34.7</w:t>
      </w:r>
      <w:r>
        <w:rPr>
          <w:rFonts w:hint="eastAsia" w:ascii="宋体" w:hAnsi="宋体" w:eastAsia="宋体" w:cs="Times New Roman"/>
          <w:color w:val="000000"/>
          <w:sz w:val="24"/>
        </w:rPr>
        <w:t>元</w:t>
      </w:r>
      <w:r>
        <w:rPr>
          <w:rFonts w:hint="eastAsia" w:ascii="宋体" w:hAnsi="宋体" w:eastAsia="宋体" w:cs="Times New Roman"/>
          <w:color w:val="000000"/>
          <w:sz w:val="24"/>
          <w:lang w:val="en-US" w:eastAsia="zh-CN"/>
        </w:rPr>
        <w:t>/人</w:t>
      </w:r>
      <w:r>
        <w:rPr>
          <w:rFonts w:hint="eastAsia" w:ascii="宋体" w:hAnsi="宋体" w:eastAsia="宋体" w:cs="Times New Roman"/>
          <w:color w:val="000000"/>
          <w:sz w:val="24"/>
        </w:rPr>
        <w:t>，</w:t>
      </w:r>
      <w:r>
        <w:rPr>
          <w:rFonts w:hint="eastAsia" w:ascii="宋体" w:hAnsi="宋体" w:eastAsia="宋体" w:cs="Times New Roman"/>
          <w:color w:val="000000"/>
          <w:sz w:val="24"/>
          <w:lang w:val="en-US" w:eastAsia="zh-CN"/>
        </w:rPr>
        <w:t>体检人数约4800</w:t>
      </w:r>
      <w:r>
        <w:rPr>
          <w:rFonts w:hint="eastAsia" w:ascii="宋体" w:hAnsi="宋体" w:eastAsia="宋体" w:cs="Times New Roman"/>
          <w:color w:val="000000"/>
          <w:sz w:val="24"/>
        </w:rPr>
        <w:t>人/年</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（实际费用按学生体检</w:t>
      </w:r>
      <w:r>
        <w:rPr>
          <w:rFonts w:hint="eastAsia" w:ascii="宋体" w:hAnsi="宋体" w:eastAsia="宋体" w:cs="Times New Roman"/>
          <w:color w:val="000000"/>
          <w:sz w:val="24"/>
          <w:lang w:eastAsia="zh-CN"/>
        </w:rPr>
        <w:t>人</w:t>
      </w:r>
      <w:r>
        <w:rPr>
          <w:rFonts w:hint="eastAsia" w:ascii="宋体" w:hAnsi="宋体" w:eastAsia="宋体" w:cs="Times New Roman"/>
          <w:color w:val="000000"/>
          <w:sz w:val="24"/>
        </w:rPr>
        <w:t>数结算）。</w:t>
      </w:r>
    </w:p>
    <w:p w14:paraId="0EDD08A6">
      <w:pPr>
        <w:spacing w:line="360" w:lineRule="auto"/>
        <w:ind w:firstLine="42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eastAsia="zh-CN"/>
        </w:rPr>
        <w:t>（二）</w:t>
      </w:r>
      <w:r>
        <w:rPr>
          <w:rFonts w:hint="eastAsia" w:ascii="宋体" w:hAnsi="宋体" w:eastAsia="宋体" w:cs="Times New Roman"/>
          <w:color w:val="000000"/>
          <w:sz w:val="24"/>
        </w:rPr>
        <w:t>服务期：</w:t>
      </w:r>
      <w:r>
        <w:rPr>
          <w:rFonts w:hint="eastAsia" w:ascii="宋体" w:hAnsi="宋体" w:eastAsia="宋体" w:cs="Times New Roman"/>
          <w:color w:val="000000"/>
          <w:sz w:val="24"/>
          <w:lang w:val="en-US" w:eastAsia="zh-CN"/>
        </w:rPr>
        <w:t>自合同签订之日起三个月内。</w:t>
      </w:r>
    </w:p>
    <w:p w14:paraId="5BE44EFA">
      <w:pPr>
        <w:spacing w:line="360" w:lineRule="auto"/>
        <w:ind w:firstLine="42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w:t>
      </w:r>
      <w:r>
        <w:rPr>
          <w:rFonts w:hint="eastAsia" w:ascii="宋体" w:hAnsi="宋体" w:cs="Times New Roman"/>
          <w:color w:val="000000"/>
          <w:sz w:val="24"/>
          <w:lang w:val="en-US" w:eastAsia="zh-CN"/>
        </w:rPr>
        <w:t>招标文件中</w:t>
      </w:r>
      <w:r>
        <w:rPr>
          <w:rFonts w:hint="eastAsia" w:ascii="宋体" w:hAnsi="宋体" w:eastAsia="宋体" w:cs="Times New Roman"/>
          <w:color w:val="000000"/>
          <w:sz w:val="24"/>
          <w:lang w:val="en-US" w:eastAsia="zh-CN"/>
        </w:rPr>
        <w:t>标注有“★”号的条款必须实质性响应，负偏离（不满足要求）将导致投标无效。</w:t>
      </w:r>
    </w:p>
    <w:p w14:paraId="5FB11E4F">
      <w:pPr>
        <w:spacing w:line="360" w:lineRule="auto"/>
        <w:ind w:firstLine="420"/>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四</w:t>
      </w:r>
      <w:r>
        <w:rPr>
          <w:rFonts w:hint="eastAsia" w:ascii="宋体" w:hAnsi="宋体" w:eastAsia="宋体" w:cs="Times New Roman"/>
          <w:color w:val="000000"/>
          <w:sz w:val="24"/>
          <w:lang w:val="en-US" w:eastAsia="zh-CN"/>
        </w:rPr>
        <w:t>）总体要求：</w:t>
      </w:r>
    </w:p>
    <w:p w14:paraId="5B723402">
      <w:pPr>
        <w:numPr>
          <w:ilvl w:val="0"/>
          <w:numId w:val="0"/>
        </w:numPr>
        <w:tabs>
          <w:tab w:val="left" w:pos="567"/>
        </w:tabs>
        <w:snapToGrid w:val="0"/>
        <w:spacing w:line="360" w:lineRule="auto"/>
        <w:ind w:firstLine="240" w:firstLineChars="100"/>
        <w:rPr>
          <w:rFonts w:hint="eastAsia" w:asciiTheme="majorEastAsia" w:hAnsiTheme="majorEastAsia" w:eastAsiaTheme="majorEastAsia"/>
          <w:b w:val="0"/>
          <w:bCs/>
          <w:color w:val="auto"/>
          <w:sz w:val="24"/>
          <w:szCs w:val="24"/>
        </w:rPr>
      </w:pPr>
      <w:r>
        <w:rPr>
          <w:rFonts w:hint="eastAsia" w:ascii="宋体" w:hAnsi="宋体" w:eastAsia="宋体" w:cs="宋体"/>
          <w:b w:val="0"/>
          <w:bCs/>
          <w:color w:val="auto"/>
          <w:sz w:val="24"/>
          <w:szCs w:val="24"/>
          <w:lang w:val="en-US" w:eastAsia="zh-CN" w:bidi="ar-SA"/>
        </w:rPr>
        <w:t>★</w:t>
      </w:r>
      <w:r>
        <w:rPr>
          <w:rFonts w:hint="default" w:cs="Times New Roman" w:asciiTheme="majorEastAsia" w:hAnsiTheme="majorEastAsia" w:eastAsiaTheme="majorEastAsia"/>
          <w:b w:val="0"/>
          <w:bCs/>
          <w:color w:val="auto"/>
          <w:sz w:val="24"/>
          <w:szCs w:val="24"/>
          <w:lang w:val="en-US" w:eastAsia="zh-CN" w:bidi="ar-SA"/>
        </w:rPr>
        <w:t>1</w:t>
      </w:r>
      <w:r>
        <w:rPr>
          <w:rFonts w:hint="eastAsia" w:cs="Times New Roman" w:asciiTheme="majorEastAsia" w:hAnsiTheme="majorEastAsia" w:eastAsiaTheme="majorEastAsia"/>
          <w:b w:val="0"/>
          <w:bCs/>
          <w:color w:val="auto"/>
          <w:sz w:val="24"/>
          <w:szCs w:val="24"/>
          <w:lang w:val="en-US" w:eastAsia="zh-CN" w:bidi="ar-SA"/>
        </w:rPr>
        <w:t>.</w:t>
      </w:r>
      <w:r>
        <w:rPr>
          <w:rFonts w:hint="eastAsia" w:asciiTheme="majorEastAsia" w:hAnsiTheme="majorEastAsia" w:eastAsiaTheme="majorEastAsia"/>
          <w:b w:val="0"/>
          <w:bCs/>
          <w:color w:val="auto"/>
          <w:sz w:val="24"/>
          <w:szCs w:val="24"/>
        </w:rPr>
        <w:t>投标人的医师人员职称综合水平高，具备副主任医师或以上职称</w:t>
      </w:r>
      <w:r>
        <w:rPr>
          <w:rFonts w:hint="eastAsia" w:asciiTheme="majorEastAsia" w:hAnsiTheme="majorEastAsia" w:eastAsiaTheme="majorEastAsia"/>
          <w:b w:val="0"/>
          <w:bCs/>
          <w:color w:val="auto"/>
          <w:sz w:val="24"/>
          <w:szCs w:val="24"/>
          <w:lang w:val="en-US" w:eastAsia="zh-CN"/>
        </w:rPr>
        <w:t>2</w:t>
      </w:r>
      <w:r>
        <w:rPr>
          <w:rFonts w:hint="eastAsia" w:asciiTheme="majorEastAsia" w:hAnsiTheme="majorEastAsia" w:eastAsiaTheme="majorEastAsia"/>
          <w:b w:val="0"/>
          <w:bCs/>
          <w:color w:val="auto"/>
          <w:sz w:val="24"/>
          <w:szCs w:val="24"/>
        </w:rPr>
        <w:t>人或以上。</w:t>
      </w:r>
    </w:p>
    <w:p w14:paraId="05F0AB53">
      <w:pPr>
        <w:numPr>
          <w:ilvl w:val="0"/>
          <w:numId w:val="0"/>
        </w:numPr>
        <w:tabs>
          <w:tab w:val="left" w:pos="567"/>
        </w:tabs>
        <w:snapToGrid w:val="0"/>
        <w:spacing w:line="360" w:lineRule="auto"/>
        <w:ind w:firstLine="240" w:firstLineChars="100"/>
        <w:rPr>
          <w:rFonts w:hint="eastAsia" w:asciiTheme="majorEastAsia" w:hAnsiTheme="majorEastAsia" w:eastAsiaTheme="majorEastAsia"/>
          <w:b w:val="0"/>
          <w:bCs/>
          <w:color w:val="auto"/>
          <w:sz w:val="24"/>
          <w:szCs w:val="24"/>
        </w:rPr>
      </w:pPr>
      <w:r>
        <w:rPr>
          <w:rFonts w:hint="eastAsia" w:ascii="宋体" w:hAnsi="宋体" w:eastAsia="宋体" w:cs="宋体"/>
          <w:b w:val="0"/>
          <w:bCs/>
          <w:color w:val="auto"/>
          <w:sz w:val="24"/>
          <w:szCs w:val="24"/>
          <w:lang w:val="en-US" w:eastAsia="zh-CN" w:bidi="ar-SA"/>
        </w:rPr>
        <w:t>★</w:t>
      </w:r>
      <w:r>
        <w:rPr>
          <w:rFonts w:hint="eastAsia" w:cs="Times New Roman" w:asciiTheme="majorEastAsia" w:hAnsiTheme="majorEastAsia" w:eastAsiaTheme="majorEastAsia"/>
          <w:b w:val="0"/>
          <w:bCs/>
          <w:color w:val="auto"/>
          <w:sz w:val="24"/>
          <w:szCs w:val="24"/>
          <w:lang w:val="en-US" w:eastAsia="zh-CN" w:bidi="ar-SA"/>
        </w:rPr>
        <w:t>2.</w:t>
      </w:r>
      <w:r>
        <w:rPr>
          <w:rFonts w:hint="eastAsia" w:asciiTheme="majorEastAsia" w:hAnsiTheme="majorEastAsia" w:eastAsiaTheme="majorEastAsia"/>
          <w:b w:val="0"/>
          <w:bCs/>
          <w:color w:val="auto"/>
          <w:sz w:val="24"/>
          <w:szCs w:val="24"/>
        </w:rPr>
        <w:t>投标人拥有以下大型先进设备仪器：①数字 X 光机；②心电图机；③全自动血球分析仪；④全自动生化分析仪等。</w:t>
      </w:r>
    </w:p>
    <w:p w14:paraId="71C34262">
      <w:pPr>
        <w:ind w:firstLine="480" w:firstLineChars="200"/>
        <w:rPr>
          <w:rFonts w:hint="eastAsia" w:ascii="宋体" w:hAnsi="宋体" w:eastAsia="宋体" w:cs="宋体"/>
          <w:color w:val="auto"/>
          <w:sz w:val="24"/>
          <w:szCs w:val="24"/>
          <w:lang w:val="en-US" w:eastAsia="zh-CN"/>
        </w:rPr>
      </w:pPr>
      <w:bookmarkStart w:id="0" w:name="_Toc519960129"/>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新生体检项目（包括但不限于以下项目）：</w:t>
      </w:r>
      <w:bookmarkEnd w:id="0"/>
    </w:p>
    <w:tbl>
      <w:tblPr>
        <w:tblStyle w:val="17"/>
        <w:tblW w:w="4998" w:type="pct"/>
        <w:tblInd w:w="0" w:type="dxa"/>
        <w:tblLayout w:type="autofit"/>
        <w:tblCellMar>
          <w:top w:w="0" w:type="dxa"/>
          <w:left w:w="0" w:type="dxa"/>
          <w:bottom w:w="0" w:type="dxa"/>
          <w:right w:w="0" w:type="dxa"/>
        </w:tblCellMar>
      </w:tblPr>
      <w:tblGrid>
        <w:gridCol w:w="1081"/>
        <w:gridCol w:w="1500"/>
        <w:gridCol w:w="6983"/>
      </w:tblGrid>
      <w:tr w14:paraId="3A22AC18">
        <w:tblPrEx>
          <w:tblCellMar>
            <w:top w:w="0" w:type="dxa"/>
            <w:left w:w="0" w:type="dxa"/>
            <w:bottom w:w="0" w:type="dxa"/>
            <w:right w:w="0" w:type="dxa"/>
          </w:tblCellMar>
        </w:tblPrEx>
        <w:trPr>
          <w:trHeight w:val="600" w:hRule="atLeast"/>
        </w:trPr>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691F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序号</w:t>
            </w:r>
          </w:p>
        </w:tc>
        <w:tc>
          <w:tcPr>
            <w:tcW w:w="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AAB6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检查项目</w:t>
            </w:r>
          </w:p>
        </w:tc>
        <w:tc>
          <w:tcPr>
            <w:tcW w:w="365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26E2D">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检查内容</w:t>
            </w:r>
          </w:p>
        </w:tc>
      </w:tr>
      <w:tr w14:paraId="63A52112">
        <w:tblPrEx>
          <w:tblCellMar>
            <w:top w:w="0" w:type="dxa"/>
            <w:left w:w="0" w:type="dxa"/>
            <w:bottom w:w="0" w:type="dxa"/>
            <w:right w:w="0" w:type="dxa"/>
          </w:tblCellMar>
        </w:tblPrEx>
        <w:trPr>
          <w:trHeight w:val="600" w:hRule="atLeast"/>
        </w:trPr>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7959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w:t>
            </w:r>
          </w:p>
        </w:tc>
        <w:tc>
          <w:tcPr>
            <w:tcW w:w="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47384">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一般检查</w:t>
            </w:r>
          </w:p>
        </w:tc>
        <w:tc>
          <w:tcPr>
            <w:tcW w:w="365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D8900">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身高、体重、血压</w:t>
            </w:r>
          </w:p>
        </w:tc>
      </w:tr>
      <w:tr w14:paraId="1DCD8C30">
        <w:tblPrEx>
          <w:tblCellMar>
            <w:top w:w="0" w:type="dxa"/>
            <w:left w:w="0" w:type="dxa"/>
            <w:bottom w:w="0" w:type="dxa"/>
            <w:right w:w="0" w:type="dxa"/>
          </w:tblCellMar>
        </w:tblPrEx>
        <w:trPr>
          <w:trHeight w:val="600" w:hRule="atLeast"/>
        </w:trPr>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94FA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w:t>
            </w:r>
          </w:p>
        </w:tc>
        <w:tc>
          <w:tcPr>
            <w:tcW w:w="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C822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内科</w:t>
            </w:r>
          </w:p>
        </w:tc>
        <w:tc>
          <w:tcPr>
            <w:tcW w:w="365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DCBDA">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（包括脉搏、心肺、肝脾、肺结核病症状筛选）</w:t>
            </w:r>
          </w:p>
        </w:tc>
      </w:tr>
      <w:tr w14:paraId="5CB83269">
        <w:tblPrEx>
          <w:tblCellMar>
            <w:top w:w="0" w:type="dxa"/>
            <w:left w:w="0" w:type="dxa"/>
            <w:bottom w:w="0" w:type="dxa"/>
            <w:right w:w="0" w:type="dxa"/>
          </w:tblCellMar>
        </w:tblPrEx>
        <w:trPr>
          <w:trHeight w:val="600" w:hRule="atLeast"/>
        </w:trPr>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D438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3</w:t>
            </w:r>
          </w:p>
        </w:tc>
        <w:tc>
          <w:tcPr>
            <w:tcW w:w="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9FB0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外科</w:t>
            </w:r>
          </w:p>
        </w:tc>
        <w:tc>
          <w:tcPr>
            <w:tcW w:w="365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8FC5D">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（包括头部、颈部、甲状腺、胸部、腹部、脊柱、四肢、皮肤）</w:t>
            </w:r>
          </w:p>
        </w:tc>
      </w:tr>
      <w:tr w14:paraId="45F32AA3">
        <w:tblPrEx>
          <w:tblCellMar>
            <w:top w:w="0" w:type="dxa"/>
            <w:left w:w="0" w:type="dxa"/>
            <w:bottom w:w="0" w:type="dxa"/>
            <w:right w:w="0" w:type="dxa"/>
          </w:tblCellMar>
        </w:tblPrEx>
        <w:trPr>
          <w:trHeight w:val="600" w:hRule="atLeast"/>
        </w:trPr>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0CDBD">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4</w:t>
            </w:r>
          </w:p>
        </w:tc>
        <w:tc>
          <w:tcPr>
            <w:tcW w:w="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4EBF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五官科</w:t>
            </w:r>
          </w:p>
        </w:tc>
        <w:tc>
          <w:tcPr>
            <w:tcW w:w="365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BD719">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（包括视力、辨色力、耳、听力、嗅觉、眼鼻、喉、扁桃体）</w:t>
            </w:r>
          </w:p>
        </w:tc>
      </w:tr>
      <w:tr w14:paraId="3CDC44C8">
        <w:tblPrEx>
          <w:tblCellMar>
            <w:top w:w="0" w:type="dxa"/>
            <w:left w:w="0" w:type="dxa"/>
            <w:bottom w:w="0" w:type="dxa"/>
            <w:right w:w="0" w:type="dxa"/>
          </w:tblCellMar>
        </w:tblPrEx>
        <w:trPr>
          <w:trHeight w:val="600" w:hRule="atLeast"/>
        </w:trPr>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E961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5</w:t>
            </w:r>
          </w:p>
        </w:tc>
        <w:tc>
          <w:tcPr>
            <w:tcW w:w="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B4F91">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化验</w:t>
            </w:r>
          </w:p>
        </w:tc>
        <w:tc>
          <w:tcPr>
            <w:tcW w:w="365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47E5F">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血常规、肝功能：（谷丙转氨酶、谷草转氨酶、总蛋白、白蛋白、球蛋白、总胆红素、直接胆红素、间接胆红素）</w:t>
            </w:r>
          </w:p>
        </w:tc>
      </w:tr>
      <w:tr w14:paraId="7495542D">
        <w:tblPrEx>
          <w:tblCellMar>
            <w:top w:w="0" w:type="dxa"/>
            <w:left w:w="0" w:type="dxa"/>
            <w:bottom w:w="0" w:type="dxa"/>
            <w:right w:w="0" w:type="dxa"/>
          </w:tblCellMar>
        </w:tblPrEx>
        <w:trPr>
          <w:trHeight w:val="600" w:hRule="atLeast"/>
        </w:trPr>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915D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6</w:t>
            </w:r>
          </w:p>
        </w:tc>
        <w:tc>
          <w:tcPr>
            <w:tcW w:w="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6CC0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DR</w:t>
            </w:r>
          </w:p>
        </w:tc>
        <w:tc>
          <w:tcPr>
            <w:tcW w:w="365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974A4">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胸部正位片</w:t>
            </w:r>
          </w:p>
        </w:tc>
      </w:tr>
    </w:tbl>
    <w:p w14:paraId="5D6AB653">
      <w:pPr>
        <w:numPr>
          <w:ilvl w:val="0"/>
          <w:numId w:val="0"/>
        </w:numPr>
        <w:tabs>
          <w:tab w:val="left" w:pos="567"/>
        </w:tabs>
        <w:snapToGrid w:val="0"/>
        <w:spacing w:line="360" w:lineRule="auto"/>
        <w:ind w:firstLine="240" w:firstLineChars="100"/>
        <w:rPr>
          <w:rFonts w:hint="eastAsia" w:cs="Times New Roman" w:asciiTheme="majorEastAsia" w:hAnsiTheme="majorEastAsia" w:eastAsiaTheme="majorEastAsia"/>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w:t>
      </w:r>
      <w:r>
        <w:rPr>
          <w:rFonts w:hint="eastAsia" w:cs="Times New Roman" w:asciiTheme="majorEastAsia" w:hAnsiTheme="majorEastAsia" w:eastAsiaTheme="majorEastAsia"/>
          <w:b w:val="0"/>
          <w:bCs/>
          <w:color w:val="auto"/>
          <w:sz w:val="24"/>
          <w:szCs w:val="24"/>
          <w:lang w:val="en-US" w:eastAsia="zh-CN" w:bidi="ar-SA"/>
        </w:rPr>
        <w:t>4.投标人须提供体检服务专用车辆及设备到学院三个校区一个教学点为学院新生完成体检服务。（北山湾校区：汕头市濠江区北山湾路32号；金新校区：汕头市金平区金新路85号；梅州校区：梅州市梅江区环市北路63号；饶平教学点：饶平县黄冈大道李厝村路段北侧）</w:t>
      </w:r>
    </w:p>
    <w:p w14:paraId="3F5D3EF9">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（四）服务项目要求</w:t>
      </w:r>
    </w:p>
    <w:p w14:paraId="31B98A06">
      <w:pPr>
        <w:numPr>
          <w:ilvl w:val="0"/>
          <w:numId w:val="0"/>
        </w:numPr>
        <w:tabs>
          <w:tab w:val="left" w:pos="567"/>
        </w:tabs>
        <w:snapToGrid w:val="0"/>
        <w:spacing w:line="360" w:lineRule="auto"/>
        <w:ind w:left="0" w:leftChars="0" w:firstLine="480" w:firstLineChars="200"/>
        <w:jc w:val="both"/>
        <w:rPr>
          <w:rFonts w:hint="eastAsia" w:cs="Times New Roman" w:asciiTheme="majorEastAsia" w:hAnsiTheme="majorEastAsia" w:eastAsiaTheme="majorEastAsia"/>
          <w:b w:val="0"/>
          <w:bCs/>
          <w:color w:val="auto"/>
          <w:sz w:val="24"/>
          <w:szCs w:val="24"/>
          <w:lang w:val="en-US" w:eastAsia="zh-CN" w:bidi="ar-SA"/>
        </w:rPr>
      </w:pPr>
      <w:r>
        <w:rPr>
          <w:rFonts w:hint="eastAsia" w:cs="Times New Roman" w:asciiTheme="majorEastAsia" w:hAnsiTheme="majorEastAsia" w:eastAsiaTheme="majorEastAsia"/>
          <w:b w:val="0"/>
          <w:bCs/>
          <w:color w:val="auto"/>
          <w:sz w:val="24"/>
          <w:szCs w:val="24"/>
          <w:lang w:val="en-US" w:eastAsia="zh-CN" w:bidi="ar-SA"/>
        </w:rPr>
        <w:t>1.体检场地由采购人提供，体检所需一切仪器、设备由中标人提供，并承担包括一次性</w:t>
      </w:r>
    </w:p>
    <w:p w14:paraId="5AFA67FD">
      <w:pPr>
        <w:numPr>
          <w:ilvl w:val="0"/>
          <w:numId w:val="0"/>
        </w:numPr>
        <w:tabs>
          <w:tab w:val="left" w:pos="567"/>
        </w:tabs>
        <w:snapToGrid w:val="0"/>
        <w:spacing w:line="360" w:lineRule="auto"/>
        <w:jc w:val="both"/>
        <w:rPr>
          <w:rFonts w:hint="eastAsia" w:cs="Times New Roman" w:asciiTheme="majorEastAsia" w:hAnsiTheme="majorEastAsia" w:eastAsiaTheme="majorEastAsia"/>
          <w:b w:val="0"/>
          <w:bCs/>
          <w:color w:val="auto"/>
          <w:sz w:val="24"/>
          <w:szCs w:val="24"/>
          <w:lang w:val="en-US" w:eastAsia="zh-CN" w:bidi="ar-SA"/>
        </w:rPr>
      </w:pPr>
      <w:r>
        <w:rPr>
          <w:rFonts w:hint="eastAsia" w:cs="Times New Roman" w:asciiTheme="majorEastAsia" w:hAnsiTheme="majorEastAsia" w:eastAsiaTheme="majorEastAsia"/>
          <w:b w:val="0"/>
          <w:bCs/>
          <w:color w:val="auto"/>
          <w:sz w:val="24"/>
          <w:szCs w:val="24"/>
          <w:lang w:val="en-US" w:eastAsia="zh-CN" w:bidi="ar-SA"/>
        </w:rPr>
        <w:t>消耗用品费、检验费、人工费、税费等一切费用。</w:t>
      </w:r>
    </w:p>
    <w:p w14:paraId="2D011C9F">
      <w:pPr>
        <w:numPr>
          <w:ilvl w:val="0"/>
          <w:numId w:val="0"/>
        </w:numPr>
        <w:tabs>
          <w:tab w:val="left" w:pos="567"/>
        </w:tabs>
        <w:snapToGrid w:val="0"/>
        <w:spacing w:line="360" w:lineRule="auto"/>
        <w:ind w:left="0" w:leftChars="0" w:firstLine="480" w:firstLineChars="200"/>
        <w:rPr>
          <w:rFonts w:hint="eastAsia" w:cs="Times New Roman" w:asciiTheme="majorEastAsia" w:hAnsiTheme="majorEastAsia" w:eastAsiaTheme="majorEastAsia"/>
          <w:b w:val="0"/>
          <w:bCs/>
          <w:color w:val="auto"/>
          <w:sz w:val="24"/>
          <w:szCs w:val="24"/>
          <w:lang w:val="en-US" w:eastAsia="zh-CN" w:bidi="ar-SA"/>
        </w:rPr>
      </w:pPr>
      <w:r>
        <w:rPr>
          <w:rFonts w:hint="eastAsia" w:cs="Times New Roman" w:asciiTheme="majorEastAsia" w:hAnsiTheme="majorEastAsia" w:eastAsiaTheme="majorEastAsia"/>
          <w:b w:val="0"/>
          <w:bCs/>
          <w:color w:val="auto"/>
          <w:sz w:val="24"/>
          <w:szCs w:val="24"/>
          <w:lang w:val="en-US" w:eastAsia="zh-CN" w:bidi="ar-SA"/>
        </w:rPr>
        <w:t>2.抽血用品全部使用一次性真空采血针头及封闭试管，保证检验结果的准确率达到 99.9%。</w:t>
      </w:r>
    </w:p>
    <w:p w14:paraId="2CFAE326">
      <w:pPr>
        <w:numPr>
          <w:ilvl w:val="0"/>
          <w:numId w:val="0"/>
        </w:numPr>
        <w:tabs>
          <w:tab w:val="left" w:pos="567"/>
        </w:tabs>
        <w:snapToGrid w:val="0"/>
        <w:spacing w:line="360" w:lineRule="auto"/>
        <w:ind w:left="0" w:leftChars="0" w:firstLine="480" w:firstLineChars="200"/>
        <w:rPr>
          <w:rFonts w:hint="eastAsia" w:cs="Times New Roman" w:asciiTheme="majorEastAsia" w:hAnsiTheme="majorEastAsia" w:eastAsiaTheme="majorEastAsia"/>
          <w:b w:val="0"/>
          <w:bCs/>
          <w:color w:val="auto"/>
          <w:sz w:val="24"/>
          <w:szCs w:val="24"/>
          <w:lang w:val="en-US" w:eastAsia="zh-CN" w:bidi="ar-SA"/>
        </w:rPr>
      </w:pPr>
      <w:r>
        <w:rPr>
          <w:rFonts w:hint="eastAsia" w:cs="Times New Roman" w:asciiTheme="majorEastAsia" w:hAnsiTheme="majorEastAsia" w:eastAsiaTheme="majorEastAsia"/>
          <w:b w:val="0"/>
          <w:bCs/>
          <w:color w:val="auto"/>
          <w:sz w:val="24"/>
          <w:szCs w:val="24"/>
          <w:lang w:val="en-US" w:eastAsia="zh-CN" w:bidi="ar-SA"/>
        </w:rPr>
        <w:t>3.需具备体检资质的医疗机构为学生体检，提供至少 20 人以上的上门体检服务团队。各科医务人员须配备合理、足够，并注明每天参加体检各科医生的人数，提供主检医生名单。体检时须按要求配备设备设施，要求内科项目至少要有 2 个主治医生，胸部 DR(DR车入校检查）项目至少要有1个主治医生。</w:t>
      </w:r>
    </w:p>
    <w:p w14:paraId="6CD99DC6">
      <w:pPr>
        <w:numPr>
          <w:ilvl w:val="0"/>
          <w:numId w:val="0"/>
        </w:numPr>
        <w:tabs>
          <w:tab w:val="left" w:pos="567"/>
        </w:tabs>
        <w:snapToGrid w:val="0"/>
        <w:spacing w:line="360" w:lineRule="auto"/>
        <w:ind w:left="0" w:leftChars="0" w:firstLine="480" w:firstLineChars="200"/>
        <w:rPr>
          <w:rFonts w:hint="eastAsia" w:cs="Times New Roman" w:asciiTheme="majorEastAsia" w:hAnsiTheme="majorEastAsia" w:eastAsiaTheme="majorEastAsia"/>
          <w:b w:val="0"/>
          <w:bCs/>
          <w:color w:val="auto"/>
          <w:sz w:val="24"/>
          <w:szCs w:val="24"/>
          <w:lang w:val="en-US" w:eastAsia="zh-CN" w:bidi="ar-SA"/>
        </w:rPr>
      </w:pPr>
      <w:r>
        <w:rPr>
          <w:rFonts w:hint="eastAsia" w:cs="Times New Roman" w:asciiTheme="majorEastAsia" w:hAnsiTheme="majorEastAsia" w:eastAsiaTheme="majorEastAsia"/>
          <w:b w:val="0"/>
          <w:bCs/>
          <w:color w:val="auto"/>
          <w:sz w:val="24"/>
          <w:szCs w:val="24"/>
          <w:lang w:val="en-US" w:eastAsia="zh-CN" w:bidi="ar-SA"/>
        </w:rPr>
        <w:t>4.由中标人提供学生体检表，提前 3 个工作日将空白体检表交给学院学生工作部，如遇体检表遗失、漏报或其他原因遗失体检表应予及时补发。</w:t>
      </w:r>
    </w:p>
    <w:p w14:paraId="0D689CC8">
      <w:pPr>
        <w:numPr>
          <w:ilvl w:val="0"/>
          <w:numId w:val="0"/>
        </w:numPr>
        <w:tabs>
          <w:tab w:val="left" w:pos="567"/>
        </w:tabs>
        <w:snapToGrid w:val="0"/>
        <w:spacing w:line="360" w:lineRule="auto"/>
        <w:ind w:left="0" w:leftChars="0" w:firstLine="480" w:firstLineChars="200"/>
        <w:rPr>
          <w:rFonts w:hint="eastAsia" w:cs="Times New Roman" w:asciiTheme="majorEastAsia" w:hAnsiTheme="majorEastAsia" w:eastAsiaTheme="majorEastAsia"/>
          <w:b w:val="0"/>
          <w:bCs/>
          <w:color w:val="auto"/>
          <w:sz w:val="24"/>
          <w:szCs w:val="24"/>
          <w:lang w:val="en-US" w:eastAsia="zh-CN" w:bidi="ar-SA"/>
        </w:rPr>
      </w:pPr>
      <w:r>
        <w:rPr>
          <w:rFonts w:hint="eastAsia" w:cs="Times New Roman" w:asciiTheme="majorEastAsia" w:hAnsiTheme="majorEastAsia" w:eastAsiaTheme="majorEastAsia"/>
          <w:b w:val="0"/>
          <w:bCs/>
          <w:color w:val="auto"/>
          <w:sz w:val="24"/>
          <w:szCs w:val="24"/>
          <w:lang w:val="en-US" w:eastAsia="zh-CN" w:bidi="ar-SA"/>
        </w:rPr>
        <w:t>5.体检报告应由副高或以上职称医生填写（内容包括检验结果及建议），并由中标人在每个学生纸质体检表的体检报告上加盖其体检中心的印章。集中体检完毕后的 15个工作日内将该时间段内体检人员体检结果以班级为单位的纸质及电子文档（excel 文档或原始数据库）形式提交给采购人，纸质体检结果按校区、二级学院、专业班级整理（并在封面处标注体检人员的姓名、性别、班级等资料）。将异常结果分类汇总并附上处理建议反馈给采购人。其中胸部 DR、心脏听诊异常的当天给出结果，ALT、AST 超过参考值 2 倍的尽快提供结果，以便做好防治工作。并提供一份所有体检人员的汇总体检资料及一份电子文档（U 盘），按校区、二级学院、班级分类汇总交给采购人。中标人应对参检学生个人信息做好保密工作，防止外泄，中标人应具备信息安全保障能力，有义务保护参检学生的隐私。遇有特殊情况，如检出急性传染病、恶性肿瘤等应立即通知采购人。</w:t>
      </w:r>
    </w:p>
    <w:p w14:paraId="30355D61">
      <w:pPr>
        <w:numPr>
          <w:ilvl w:val="0"/>
          <w:numId w:val="0"/>
        </w:numPr>
        <w:tabs>
          <w:tab w:val="left" w:pos="567"/>
        </w:tabs>
        <w:snapToGrid w:val="0"/>
        <w:spacing w:line="360" w:lineRule="auto"/>
        <w:ind w:firstLine="240" w:firstLineChars="100"/>
        <w:rPr>
          <w:rFonts w:hint="eastAsia" w:cs="Times New Roman" w:asciiTheme="majorEastAsia" w:hAnsiTheme="majorEastAsia" w:eastAsiaTheme="majorEastAsia"/>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w:t>
      </w:r>
      <w:r>
        <w:rPr>
          <w:rFonts w:hint="eastAsia" w:cs="Times New Roman" w:asciiTheme="majorEastAsia" w:hAnsiTheme="majorEastAsia" w:eastAsiaTheme="majorEastAsia"/>
          <w:b w:val="0"/>
          <w:bCs/>
          <w:color w:val="auto"/>
          <w:sz w:val="24"/>
          <w:szCs w:val="24"/>
          <w:lang w:val="en-US" w:eastAsia="zh-CN" w:bidi="ar-SA"/>
        </w:rPr>
        <w:t>6.各校区每天必须保证安排足够胸片车（需提供每台胸片车行驶证、车辆登记证复印件并加盖公章。如为租赁车辆，还需提供在租赁期内的有效租赁合同并加盖公章）。</w:t>
      </w:r>
    </w:p>
    <w:p w14:paraId="6FD8A7D5">
      <w:pPr>
        <w:numPr>
          <w:ilvl w:val="0"/>
          <w:numId w:val="0"/>
        </w:numPr>
        <w:tabs>
          <w:tab w:val="left" w:pos="567"/>
        </w:tabs>
        <w:snapToGrid w:val="0"/>
        <w:spacing w:line="360" w:lineRule="auto"/>
        <w:ind w:left="0" w:leftChars="0" w:firstLine="480" w:firstLineChars="200"/>
        <w:rPr>
          <w:rFonts w:hint="eastAsia" w:cs="Times New Roman" w:asciiTheme="majorEastAsia" w:hAnsiTheme="majorEastAsia" w:eastAsiaTheme="majorEastAsia"/>
          <w:b w:val="0"/>
          <w:bCs/>
          <w:color w:val="auto"/>
          <w:sz w:val="24"/>
          <w:szCs w:val="24"/>
          <w:lang w:val="en-US" w:eastAsia="zh-CN" w:bidi="ar-SA"/>
        </w:rPr>
      </w:pPr>
      <w:r>
        <w:rPr>
          <w:rFonts w:hint="eastAsia" w:cs="Times New Roman" w:asciiTheme="majorEastAsia" w:hAnsiTheme="majorEastAsia" w:eastAsiaTheme="majorEastAsia"/>
          <w:b w:val="0"/>
          <w:bCs/>
          <w:color w:val="auto"/>
          <w:sz w:val="24"/>
          <w:szCs w:val="24"/>
          <w:lang w:val="en-US" w:eastAsia="zh-CN" w:bidi="ar-SA"/>
        </w:rPr>
        <w:t>7.设学生体检专场，每个校区每天体检人数由采购人安排决定，且每天体检须在当天下午 15:00 前完成。</w:t>
      </w:r>
    </w:p>
    <w:p w14:paraId="3C90DA1C">
      <w:pPr>
        <w:numPr>
          <w:ilvl w:val="0"/>
          <w:numId w:val="0"/>
        </w:numPr>
        <w:tabs>
          <w:tab w:val="left" w:pos="567"/>
        </w:tabs>
        <w:snapToGrid w:val="0"/>
        <w:spacing w:line="360" w:lineRule="auto"/>
        <w:ind w:left="0" w:leftChars="0" w:firstLine="480" w:firstLineChars="200"/>
        <w:rPr>
          <w:rFonts w:hint="eastAsia" w:cs="Times New Roman" w:asciiTheme="majorEastAsia" w:hAnsiTheme="majorEastAsia" w:eastAsiaTheme="majorEastAsia"/>
          <w:b w:val="0"/>
          <w:bCs/>
          <w:color w:val="auto"/>
          <w:sz w:val="24"/>
          <w:szCs w:val="24"/>
          <w:lang w:val="en-US" w:eastAsia="zh-CN" w:bidi="ar-SA"/>
        </w:rPr>
      </w:pPr>
      <w:r>
        <w:rPr>
          <w:rFonts w:hint="eastAsia" w:cs="Times New Roman" w:asciiTheme="majorEastAsia" w:hAnsiTheme="majorEastAsia" w:eastAsiaTheme="majorEastAsia"/>
          <w:b w:val="0"/>
          <w:bCs/>
          <w:color w:val="auto"/>
          <w:sz w:val="24"/>
          <w:szCs w:val="24"/>
          <w:lang w:val="en-US" w:eastAsia="zh-CN" w:bidi="ar-SA"/>
        </w:rPr>
        <w:t>8.</w:t>
      </w:r>
      <w:r>
        <w:rPr>
          <w:rFonts w:hint="eastAsia" w:ascii="宋体" w:hAnsi="宋体"/>
          <w:sz w:val="24"/>
          <w:szCs w:val="24"/>
          <w:lang w:val="en-US" w:eastAsia="zh-CN"/>
        </w:rPr>
        <w:t>三个校区一个教学点</w:t>
      </w:r>
      <w:r>
        <w:rPr>
          <w:rFonts w:hint="eastAsia" w:cs="Times New Roman" w:asciiTheme="majorEastAsia" w:hAnsiTheme="majorEastAsia" w:eastAsiaTheme="majorEastAsia"/>
          <w:b w:val="0"/>
          <w:bCs/>
          <w:color w:val="auto"/>
          <w:sz w:val="24"/>
          <w:szCs w:val="24"/>
          <w:lang w:val="en-US" w:eastAsia="zh-CN" w:bidi="ar-SA"/>
        </w:rPr>
        <w:t>体检工作要在同一个月同一周内完成，具体体检时间由采购人根据新生入学时间决定，中标人不得因医护人员不够和检测仪器不够为由，拖延各校区体检进度。</w:t>
      </w:r>
    </w:p>
    <w:p w14:paraId="7F2B4044">
      <w:pPr>
        <w:numPr>
          <w:ilvl w:val="0"/>
          <w:numId w:val="0"/>
        </w:numPr>
        <w:tabs>
          <w:tab w:val="left" w:pos="567"/>
        </w:tabs>
        <w:snapToGrid w:val="0"/>
        <w:spacing w:line="360" w:lineRule="auto"/>
        <w:ind w:left="0" w:leftChars="0" w:firstLine="480" w:firstLineChars="200"/>
        <w:rPr>
          <w:rFonts w:hint="eastAsia" w:cs="Times New Roman" w:asciiTheme="majorEastAsia" w:hAnsiTheme="majorEastAsia" w:eastAsiaTheme="majorEastAsia"/>
          <w:b w:val="0"/>
          <w:bCs/>
          <w:color w:val="auto"/>
          <w:sz w:val="24"/>
          <w:szCs w:val="24"/>
          <w:lang w:val="en-US" w:eastAsia="zh-CN" w:bidi="ar-SA"/>
        </w:rPr>
      </w:pPr>
      <w:r>
        <w:rPr>
          <w:rFonts w:hint="eastAsia" w:cs="Times New Roman" w:asciiTheme="majorEastAsia" w:hAnsiTheme="majorEastAsia" w:eastAsiaTheme="majorEastAsia"/>
          <w:b w:val="0"/>
          <w:bCs/>
          <w:color w:val="auto"/>
          <w:sz w:val="24"/>
          <w:szCs w:val="24"/>
          <w:lang w:val="en-US" w:eastAsia="zh-CN" w:bidi="ar-SA"/>
        </w:rPr>
        <w:t>9.体检服务须保证质量，若有证据表明或者经权威鉴定，中标人的体检结果出现重大错误的情况，采购人有权追究中标人相应责任及要求相应赔偿。中标人须设立服务质量投诉电话和服务质量征求意见表，对服务质量进行跟踪调查。</w:t>
      </w:r>
    </w:p>
    <w:p w14:paraId="363E56C3">
      <w:pPr>
        <w:numPr>
          <w:ilvl w:val="0"/>
          <w:numId w:val="0"/>
        </w:numPr>
        <w:tabs>
          <w:tab w:val="left" w:pos="567"/>
        </w:tabs>
        <w:snapToGrid w:val="0"/>
        <w:spacing w:line="360" w:lineRule="auto"/>
        <w:ind w:left="0" w:leftChars="0" w:firstLine="480" w:firstLineChars="200"/>
        <w:rPr>
          <w:rFonts w:hint="eastAsia" w:cs="Times New Roman" w:asciiTheme="majorEastAsia" w:hAnsiTheme="majorEastAsia" w:eastAsiaTheme="majorEastAsia"/>
          <w:b w:val="0"/>
          <w:bCs/>
          <w:color w:val="auto"/>
          <w:sz w:val="24"/>
          <w:szCs w:val="24"/>
          <w:lang w:val="en-US" w:eastAsia="zh-CN" w:bidi="ar-SA"/>
        </w:rPr>
      </w:pPr>
      <w:r>
        <w:rPr>
          <w:rFonts w:hint="eastAsia" w:cs="Times New Roman" w:asciiTheme="majorEastAsia" w:hAnsiTheme="majorEastAsia" w:eastAsiaTheme="majorEastAsia"/>
          <w:b w:val="0"/>
          <w:bCs/>
          <w:color w:val="auto"/>
          <w:sz w:val="24"/>
          <w:szCs w:val="24"/>
          <w:lang w:val="en-US" w:eastAsia="zh-CN" w:bidi="ar-SA"/>
        </w:rPr>
        <w:t>10.中标人体检期间应认真遵守职业道德和行业规范，认真做好服务工作，保证体检现场工作和资料汇总的按时完成，不得向学生做任何宣传广告。</w:t>
      </w:r>
    </w:p>
    <w:p w14:paraId="2005885D">
      <w:pPr>
        <w:numPr>
          <w:ilvl w:val="0"/>
          <w:numId w:val="0"/>
        </w:numPr>
        <w:tabs>
          <w:tab w:val="left" w:pos="567"/>
        </w:tabs>
        <w:snapToGrid w:val="0"/>
        <w:spacing w:line="360" w:lineRule="auto"/>
        <w:ind w:left="0" w:leftChars="0" w:firstLine="480" w:firstLineChars="200"/>
        <w:rPr>
          <w:rFonts w:hint="eastAsia" w:cs="Times New Roman" w:asciiTheme="majorEastAsia" w:hAnsiTheme="majorEastAsia" w:eastAsiaTheme="majorEastAsia"/>
          <w:b w:val="0"/>
          <w:bCs/>
          <w:color w:val="auto"/>
          <w:sz w:val="24"/>
          <w:szCs w:val="24"/>
          <w:lang w:val="en-US" w:eastAsia="zh-CN" w:bidi="ar-SA"/>
        </w:rPr>
      </w:pPr>
      <w:r>
        <w:rPr>
          <w:rFonts w:hint="eastAsia" w:cs="Times New Roman" w:asciiTheme="majorEastAsia" w:hAnsiTheme="majorEastAsia" w:eastAsiaTheme="majorEastAsia"/>
          <w:b w:val="0"/>
          <w:bCs/>
          <w:color w:val="auto"/>
          <w:sz w:val="24"/>
          <w:szCs w:val="24"/>
          <w:lang w:val="en-US" w:eastAsia="zh-CN" w:bidi="ar-SA"/>
        </w:rPr>
        <w:t>11.中标人不能将体检业务转包、分包给其他单位。</w:t>
      </w:r>
    </w:p>
    <w:p w14:paraId="77688515">
      <w:pPr>
        <w:numPr>
          <w:ilvl w:val="0"/>
          <w:numId w:val="0"/>
        </w:numPr>
        <w:tabs>
          <w:tab w:val="left" w:pos="567"/>
        </w:tabs>
        <w:snapToGrid w:val="0"/>
        <w:spacing w:line="360" w:lineRule="auto"/>
        <w:ind w:left="0" w:leftChars="0" w:firstLine="480" w:firstLineChars="200"/>
        <w:rPr>
          <w:rFonts w:hint="eastAsia" w:cs="Times New Roman" w:asciiTheme="majorEastAsia" w:hAnsiTheme="majorEastAsia" w:eastAsiaTheme="majorEastAsia"/>
          <w:b w:val="0"/>
          <w:bCs/>
          <w:color w:val="auto"/>
          <w:sz w:val="24"/>
          <w:szCs w:val="24"/>
          <w:lang w:val="en-US" w:eastAsia="zh-CN" w:bidi="ar-SA"/>
        </w:rPr>
      </w:pPr>
      <w:r>
        <w:rPr>
          <w:rFonts w:hint="eastAsia" w:cs="Times New Roman" w:asciiTheme="majorEastAsia" w:hAnsiTheme="majorEastAsia" w:eastAsiaTheme="majorEastAsia"/>
          <w:b w:val="0"/>
          <w:bCs/>
          <w:color w:val="auto"/>
          <w:sz w:val="24"/>
          <w:szCs w:val="24"/>
          <w:lang w:val="en-US" w:eastAsia="zh-CN" w:bidi="ar-SA"/>
        </w:rPr>
        <w:t>12.体检必须按规程操作，按行业规范确定体检方案和方法，保障学生的安全。</w:t>
      </w:r>
    </w:p>
    <w:p w14:paraId="45FA92C6">
      <w:pPr>
        <w:numPr>
          <w:ilvl w:val="0"/>
          <w:numId w:val="0"/>
        </w:numPr>
        <w:tabs>
          <w:tab w:val="left" w:pos="567"/>
        </w:tabs>
        <w:snapToGrid w:val="0"/>
        <w:spacing w:line="360" w:lineRule="auto"/>
        <w:ind w:left="0" w:leftChars="0" w:firstLine="480" w:firstLineChars="200"/>
        <w:rPr>
          <w:rFonts w:hint="eastAsia" w:cs="Times New Roman" w:asciiTheme="majorEastAsia" w:hAnsiTheme="majorEastAsia" w:eastAsiaTheme="majorEastAsia"/>
          <w:b w:val="0"/>
          <w:bCs/>
          <w:color w:val="auto"/>
          <w:sz w:val="24"/>
          <w:szCs w:val="24"/>
          <w:lang w:val="en-US" w:eastAsia="zh-CN" w:bidi="ar-SA"/>
        </w:rPr>
      </w:pPr>
      <w:r>
        <w:rPr>
          <w:rFonts w:hint="eastAsia" w:cs="Times New Roman" w:asciiTheme="majorEastAsia" w:hAnsiTheme="majorEastAsia" w:eastAsiaTheme="majorEastAsia"/>
          <w:b w:val="0"/>
          <w:bCs/>
          <w:color w:val="auto"/>
          <w:sz w:val="24"/>
          <w:szCs w:val="24"/>
          <w:lang w:val="en-US" w:eastAsia="zh-CN" w:bidi="ar-SA"/>
        </w:rPr>
        <w:t>13.中标人未按服务项目要求完成或完成不彻底，须按要求重新安排体检，且采购人有权提出终止合约，由此造成的一切后果由中标人承担。</w:t>
      </w:r>
    </w:p>
    <w:p w14:paraId="258BE4D4">
      <w:pPr>
        <w:numPr>
          <w:ilvl w:val="0"/>
          <w:numId w:val="0"/>
        </w:numPr>
        <w:tabs>
          <w:tab w:val="left" w:pos="567"/>
        </w:tabs>
        <w:snapToGrid w:val="0"/>
        <w:spacing w:line="360" w:lineRule="auto"/>
        <w:ind w:left="0" w:leftChars="0" w:firstLine="480" w:firstLineChars="200"/>
        <w:rPr>
          <w:rFonts w:hint="eastAsia" w:cs="Times New Roman" w:asciiTheme="majorEastAsia" w:hAnsiTheme="majorEastAsia" w:eastAsiaTheme="majorEastAsia"/>
          <w:b w:val="0"/>
          <w:bCs/>
          <w:color w:val="auto"/>
          <w:sz w:val="24"/>
          <w:szCs w:val="24"/>
          <w:lang w:val="en-US" w:eastAsia="zh-CN" w:bidi="ar-SA"/>
        </w:rPr>
      </w:pPr>
      <w:r>
        <w:rPr>
          <w:rFonts w:hint="eastAsia" w:cs="Times New Roman" w:asciiTheme="majorEastAsia" w:hAnsiTheme="majorEastAsia" w:eastAsiaTheme="majorEastAsia"/>
          <w:b w:val="0"/>
          <w:bCs/>
          <w:color w:val="auto"/>
          <w:sz w:val="24"/>
          <w:szCs w:val="24"/>
          <w:lang w:val="en-US" w:eastAsia="zh-CN" w:bidi="ar-SA"/>
        </w:rPr>
        <w:t>14.体检工作中产生的医疗垃圾由中标人自行带走并处理。</w:t>
      </w:r>
    </w:p>
    <w:p w14:paraId="16A353AD">
      <w:pPr>
        <w:numPr>
          <w:ilvl w:val="0"/>
          <w:numId w:val="0"/>
        </w:numPr>
        <w:tabs>
          <w:tab w:val="left" w:pos="567"/>
        </w:tabs>
        <w:snapToGrid w:val="0"/>
        <w:spacing w:line="360" w:lineRule="auto"/>
        <w:ind w:left="0" w:leftChars="0" w:firstLine="480" w:firstLineChars="200"/>
        <w:rPr>
          <w:rFonts w:hint="eastAsia" w:cs="Times New Roman" w:asciiTheme="majorEastAsia" w:hAnsiTheme="majorEastAsia" w:eastAsiaTheme="majorEastAsia"/>
          <w:b w:val="0"/>
          <w:bCs/>
          <w:color w:val="auto"/>
          <w:sz w:val="24"/>
          <w:szCs w:val="24"/>
          <w:lang w:val="en-US" w:eastAsia="zh-CN" w:bidi="ar-SA"/>
        </w:rPr>
      </w:pPr>
      <w:r>
        <w:rPr>
          <w:rFonts w:hint="eastAsia" w:cs="Times New Roman" w:asciiTheme="majorEastAsia" w:hAnsiTheme="majorEastAsia" w:eastAsiaTheme="majorEastAsia"/>
          <w:b w:val="0"/>
          <w:bCs/>
          <w:color w:val="auto"/>
          <w:sz w:val="24"/>
          <w:szCs w:val="24"/>
          <w:lang w:val="en-US" w:eastAsia="zh-CN" w:bidi="ar-SA"/>
        </w:rPr>
        <w:t>15.每次体检的具体时间由采购人提前 7 天告知中标人，中标人必须按采购人要求的时间有序安排体检。</w:t>
      </w:r>
    </w:p>
    <w:p w14:paraId="67BE6D0B">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left="0" w:firstLine="480" w:firstLineChars="2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16.中标人存在以下情形的，学院将其列入采购黑名单，三年内不得参加学院采购项目的投标工作。</w:t>
      </w:r>
    </w:p>
    <w:p w14:paraId="78155983">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left="0" w:firstLine="480" w:firstLineChars="2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（1）向评标成员行贿或者提供其他不正当利益；</w:t>
      </w:r>
    </w:p>
    <w:p w14:paraId="717F7640">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left="0" w:firstLine="480" w:firstLineChars="2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（2）中标或者成交后无正当理由拒不签订合同；</w:t>
      </w:r>
    </w:p>
    <w:p w14:paraId="1A1F755F">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left="0" w:firstLine="480" w:firstLineChars="2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（3）未按照采购文件确定的事项签订合同；</w:t>
      </w:r>
    </w:p>
    <w:p w14:paraId="69CD8828">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left="0" w:firstLine="480" w:firstLineChars="2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（4）将采购合同转包；</w:t>
      </w:r>
    </w:p>
    <w:p w14:paraId="35C5BE14">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left="0" w:firstLine="480" w:firstLineChars="2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（5）提供假冒伪劣产品；</w:t>
      </w:r>
    </w:p>
    <w:p w14:paraId="50154932">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left="0" w:firstLine="480" w:firstLineChars="2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（6）擅自变更、中止或者终止合同；</w:t>
      </w:r>
    </w:p>
    <w:p w14:paraId="4F24942B">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left="0" w:firstLine="480" w:firstLineChars="2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（7）提供虚假材料谋取中标、成交的；</w:t>
      </w:r>
    </w:p>
    <w:p w14:paraId="646530FB">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left="0" w:firstLine="480" w:firstLineChars="2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（8）串标、围标谋取中标、成交的。</w:t>
      </w:r>
    </w:p>
    <w:p w14:paraId="6BB02E19">
      <w:pPr>
        <w:pStyle w:val="7"/>
        <w:numPr>
          <w:ilvl w:val="0"/>
          <w:numId w:val="0"/>
        </w:numPr>
        <w:tabs>
          <w:tab w:val="left" w:pos="540"/>
        </w:tabs>
        <w:snapToGrid w:val="0"/>
        <w:spacing w:line="360" w:lineRule="auto"/>
        <w:ind w:leftChars="0"/>
        <w:rPr>
          <w:rFonts w:cs="宋体" w:asciiTheme="majorEastAsia" w:hAnsiTheme="majorEastAsia" w:eastAsiaTheme="majorEastAsia"/>
          <w:b/>
          <w:color w:val="auto"/>
          <w:sz w:val="24"/>
          <w:szCs w:val="24"/>
          <w:lang w:eastAsia="zh-TW"/>
        </w:rPr>
      </w:pPr>
      <w:r>
        <w:rPr>
          <w:rFonts w:hint="eastAsia" w:cs="宋体" w:asciiTheme="majorEastAsia" w:hAnsiTheme="majorEastAsia" w:eastAsiaTheme="majorEastAsia"/>
          <w:b/>
          <w:color w:val="auto"/>
          <w:sz w:val="24"/>
          <w:szCs w:val="24"/>
          <w:lang w:eastAsia="zh-CN"/>
        </w:rPr>
        <w:t>三、违约责任</w:t>
      </w:r>
    </w:p>
    <w:p w14:paraId="24AB9AAC">
      <w:pPr>
        <w:pStyle w:val="7"/>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left="0" w:firstLine="480" w:firstLineChars="2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中标人提交的成果有下列情形之一的，采购人将有权解除合同：</w:t>
      </w:r>
    </w:p>
    <w:p w14:paraId="7D1295E8">
      <w:pPr>
        <w:pStyle w:val="7"/>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2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1.服务工作不符合本项目规定或服务质量严重偏离采购人下达的任务要求的。</w:t>
      </w:r>
    </w:p>
    <w:p w14:paraId="4980DD87">
      <w:pPr>
        <w:pStyle w:val="7"/>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2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2.中标人未能履行合同义务，未能统筹协调整体服务工作。</w:t>
      </w:r>
    </w:p>
    <w:p w14:paraId="14F4B359">
      <w:pPr>
        <w:pStyle w:val="7"/>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200"/>
        <w:textAlignment w:val="baseline"/>
        <w:rPr>
          <w:rFonts w:hint="eastAsia"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3.中标人未经采购人同意，擅自将项目分包或转包的。</w:t>
      </w:r>
    </w:p>
    <w:p w14:paraId="6D101A08">
      <w:pPr>
        <w:pStyle w:val="7"/>
        <w:numPr>
          <w:ilvl w:val="0"/>
          <w:numId w:val="0"/>
        </w:numPr>
        <w:tabs>
          <w:tab w:val="left" w:pos="540"/>
        </w:tabs>
        <w:snapToGrid w:val="0"/>
        <w:spacing w:line="360" w:lineRule="auto"/>
        <w:ind w:leftChars="0"/>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lang w:eastAsia="zh-CN"/>
        </w:rPr>
        <w:t>四、</w:t>
      </w:r>
      <w:r>
        <w:rPr>
          <w:rFonts w:hint="eastAsia" w:cs="宋体" w:asciiTheme="majorEastAsia" w:hAnsiTheme="majorEastAsia" w:eastAsiaTheme="majorEastAsia"/>
          <w:b/>
          <w:color w:val="auto"/>
          <w:sz w:val="24"/>
          <w:szCs w:val="24"/>
        </w:rPr>
        <w:t>付款及结算方式</w:t>
      </w:r>
    </w:p>
    <w:p w14:paraId="1D9C2277">
      <w:pPr>
        <w:widowControl/>
        <w:numPr>
          <w:ilvl w:val="0"/>
          <w:numId w:val="0"/>
        </w:numPr>
        <w:tabs>
          <w:tab w:val="left" w:pos="567"/>
        </w:tabs>
        <w:autoSpaceDE w:val="0"/>
        <w:autoSpaceDN w:val="0"/>
        <w:snapToGrid w:val="0"/>
        <w:spacing w:line="360" w:lineRule="auto"/>
        <w:ind w:leftChars="0" w:firstLine="480" w:firstLineChars="200"/>
        <w:jc w:val="left"/>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lang w:val="en-US" w:eastAsia="zh-CN"/>
        </w:rPr>
        <w:t>学生自行支付体检费用</w:t>
      </w:r>
      <w:r>
        <w:rPr>
          <w:rFonts w:hint="eastAsia" w:cs="宋体" w:asciiTheme="majorEastAsia" w:hAnsiTheme="majorEastAsia" w:eastAsiaTheme="majorEastAsia"/>
          <w:color w:val="auto"/>
          <w:sz w:val="24"/>
          <w:szCs w:val="24"/>
        </w:rPr>
        <w:t>。</w:t>
      </w:r>
    </w:p>
    <w:p w14:paraId="3475900E">
      <w:pPr>
        <w:snapToGrid w:val="0"/>
        <w:spacing w:line="400" w:lineRule="exact"/>
        <w:rPr>
          <w:rFonts w:ascii="宋体" w:hAnsi="宋体"/>
          <w:b/>
          <w:sz w:val="24"/>
        </w:rPr>
      </w:pPr>
      <w:r>
        <w:rPr>
          <w:rFonts w:hint="eastAsia" w:ascii="宋体" w:hAnsi="宋体"/>
          <w:b/>
          <w:sz w:val="24"/>
          <w:lang w:eastAsia="zh-CN"/>
        </w:rPr>
        <w:t>五</w:t>
      </w:r>
      <w:r>
        <w:rPr>
          <w:rFonts w:hint="eastAsia" w:ascii="宋体" w:hAnsi="宋体"/>
          <w:b/>
          <w:sz w:val="24"/>
        </w:rPr>
        <w:t>、投标报价</w:t>
      </w:r>
    </w:p>
    <w:p w14:paraId="4F8765F7">
      <w:pPr>
        <w:spacing w:line="360" w:lineRule="auto"/>
        <w:ind w:firstLine="420"/>
        <w:rPr>
          <w:rFonts w:ascii="宋体" w:hAnsi="宋体"/>
          <w:color w:val="000000"/>
          <w:sz w:val="24"/>
        </w:rPr>
      </w:pPr>
      <w:r>
        <w:rPr>
          <w:rFonts w:hint="eastAsia" w:ascii="宋体" w:hAnsi="宋体"/>
          <w:color w:val="000000"/>
          <w:sz w:val="24"/>
        </w:rPr>
        <w:t>（一）投标报价的文件和编制要求</w:t>
      </w:r>
    </w:p>
    <w:p w14:paraId="3A41331E">
      <w:pPr>
        <w:keepNext w:val="0"/>
        <w:keepLines w:val="0"/>
        <w:pageBreakBefore w:val="0"/>
        <w:widowControl w:val="0"/>
        <w:numPr>
          <w:ilvl w:val="0"/>
          <w:numId w:val="0"/>
        </w:numPr>
        <w:shd w:val="clear" w:color="auto" w:fill="auto"/>
        <w:tabs>
          <w:tab w:val="left" w:pos="525"/>
          <w:tab w:val="left" w:pos="846"/>
        </w:tabs>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9"/>
        <w:rPr>
          <w:rFonts w:hint="eastAsia" w:cs="Times New Roman" w:asciiTheme="majorEastAsia" w:hAnsiTheme="majorEastAsia" w:eastAsiaTheme="majorEastAsia"/>
          <w:b w:val="0"/>
          <w:bCs/>
          <w:color w:val="auto"/>
          <w:sz w:val="24"/>
          <w:szCs w:val="24"/>
          <w:lang w:val="en-US" w:eastAsia="zh-CN"/>
        </w:rPr>
      </w:pPr>
      <w:r>
        <w:rPr>
          <w:rFonts w:hint="eastAsia" w:cs="Times New Roman" w:asciiTheme="majorEastAsia" w:hAnsiTheme="majorEastAsia" w:eastAsiaTheme="majorEastAsia"/>
          <w:b w:val="0"/>
          <w:bCs/>
          <w:color w:val="auto"/>
          <w:sz w:val="24"/>
          <w:szCs w:val="24"/>
          <w:lang w:val="en-US" w:eastAsia="zh-CN"/>
        </w:rPr>
        <w:t>1.投标人需按招标人提供的《报价函》进行报价，提供《报价函》并由法人代表或授权代表（授权代表需附法人授权书）签名加盖公章。各投标人的项目总报价必须低于本项目的采购预算，且不能低于投标人的企业成本，否则作无效标处理。</w:t>
      </w:r>
    </w:p>
    <w:p w14:paraId="48C1E586">
      <w:pPr>
        <w:keepNext w:val="0"/>
        <w:keepLines w:val="0"/>
        <w:pageBreakBefore w:val="0"/>
        <w:widowControl w:val="0"/>
        <w:numPr>
          <w:ilvl w:val="0"/>
          <w:numId w:val="0"/>
        </w:numPr>
        <w:shd w:val="clear" w:color="auto" w:fill="auto"/>
        <w:tabs>
          <w:tab w:val="left" w:pos="525"/>
          <w:tab w:val="left" w:pos="846"/>
        </w:tabs>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9"/>
        <w:rPr>
          <w:rFonts w:hint="eastAsia" w:cs="Times New Roman" w:asciiTheme="majorEastAsia" w:hAnsiTheme="majorEastAsia" w:eastAsiaTheme="majorEastAsia"/>
          <w:b w:val="0"/>
          <w:bCs/>
          <w:color w:val="auto"/>
          <w:sz w:val="24"/>
          <w:szCs w:val="24"/>
          <w:lang w:val="en-US" w:eastAsia="zh-CN"/>
        </w:rPr>
      </w:pPr>
      <w:r>
        <w:rPr>
          <w:rFonts w:hint="eastAsia" w:cs="Times New Roman" w:asciiTheme="majorEastAsia" w:hAnsiTheme="majorEastAsia" w:eastAsiaTheme="majorEastAsia"/>
          <w:b w:val="0"/>
          <w:bCs/>
          <w:color w:val="auto"/>
          <w:sz w:val="24"/>
          <w:szCs w:val="24"/>
          <w:lang w:val="en-US" w:eastAsia="zh-CN"/>
        </w:rPr>
        <w:t>2.本项目进行单价报价。最终结算金额=实际体检人数*中标单价，据实结算。</w:t>
      </w:r>
    </w:p>
    <w:p w14:paraId="7B30C6DA">
      <w:pPr>
        <w:keepNext w:val="0"/>
        <w:keepLines w:val="0"/>
        <w:pageBreakBefore w:val="0"/>
        <w:widowControl w:val="0"/>
        <w:numPr>
          <w:ilvl w:val="0"/>
          <w:numId w:val="0"/>
        </w:numPr>
        <w:shd w:val="clear" w:color="auto" w:fill="auto"/>
        <w:tabs>
          <w:tab w:val="left" w:pos="525"/>
          <w:tab w:val="left" w:pos="846"/>
        </w:tabs>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9"/>
        <w:rPr>
          <w:rFonts w:hint="eastAsia" w:asciiTheme="majorEastAsia" w:hAnsiTheme="majorEastAsia" w:eastAsiaTheme="majorEastAsia"/>
          <w:b w:val="0"/>
          <w:bCs/>
          <w:color w:val="auto"/>
          <w:sz w:val="24"/>
          <w:szCs w:val="24"/>
        </w:rPr>
      </w:pPr>
      <w:r>
        <w:rPr>
          <w:rFonts w:hint="eastAsia" w:cs="Times New Roman" w:asciiTheme="majorEastAsia" w:hAnsiTheme="majorEastAsia" w:eastAsiaTheme="majorEastAsia"/>
          <w:b w:val="0"/>
          <w:bCs/>
          <w:color w:val="auto"/>
          <w:sz w:val="24"/>
          <w:szCs w:val="24"/>
          <w:lang w:val="en-US" w:eastAsia="zh-CN"/>
        </w:rPr>
        <w:t>3.投</w:t>
      </w:r>
      <w:r>
        <w:rPr>
          <w:rFonts w:hint="eastAsia" w:asciiTheme="majorEastAsia" w:hAnsiTheme="majorEastAsia" w:eastAsiaTheme="majorEastAsia"/>
          <w:b w:val="0"/>
          <w:bCs/>
          <w:color w:val="auto"/>
          <w:sz w:val="24"/>
          <w:szCs w:val="24"/>
        </w:rPr>
        <w:t>标人应对所有的招标内容进行投标，不允许只对部分内容进行投标。</w:t>
      </w:r>
    </w:p>
    <w:p w14:paraId="28FDC6DF">
      <w:pPr>
        <w:keepNext w:val="0"/>
        <w:keepLines w:val="0"/>
        <w:pageBreakBefore w:val="0"/>
        <w:widowControl w:val="0"/>
        <w:numPr>
          <w:ilvl w:val="0"/>
          <w:numId w:val="0"/>
        </w:numPr>
        <w:shd w:val="clear" w:color="auto" w:fill="auto"/>
        <w:tabs>
          <w:tab w:val="left" w:pos="525"/>
          <w:tab w:val="left" w:pos="846"/>
        </w:tabs>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9"/>
        <w:rPr>
          <w:rFonts w:hint="eastAsia" w:cs="Times New Roman" w:asciiTheme="majorEastAsia" w:hAnsiTheme="majorEastAsia" w:eastAsiaTheme="majorEastAsia"/>
          <w:b w:val="0"/>
          <w:bCs/>
          <w:color w:val="auto"/>
          <w:sz w:val="24"/>
          <w:szCs w:val="24"/>
          <w:lang w:val="en-US" w:eastAsia="zh-CN"/>
        </w:rPr>
      </w:pPr>
      <w:r>
        <w:rPr>
          <w:rFonts w:hint="eastAsia" w:asciiTheme="majorEastAsia" w:hAnsiTheme="majorEastAsia" w:eastAsiaTheme="majorEastAsia"/>
          <w:b w:val="0"/>
          <w:bCs/>
          <w:color w:val="auto"/>
          <w:sz w:val="24"/>
          <w:szCs w:val="24"/>
          <w:lang w:val="en-US" w:eastAsia="zh-CN"/>
        </w:rPr>
        <w:t>4.</w:t>
      </w:r>
      <w:r>
        <w:rPr>
          <w:rFonts w:hint="eastAsia" w:asciiTheme="majorEastAsia" w:hAnsiTheme="majorEastAsia" w:eastAsiaTheme="majorEastAsia"/>
          <w:b w:val="0"/>
          <w:bCs/>
          <w:color w:val="auto"/>
          <w:sz w:val="24"/>
          <w:szCs w:val="24"/>
        </w:rPr>
        <w:t>投标价格包括:所有体检项目所需一次性消耗品、检验费、人工费、税费及检查仪器等一切费用。中标后不得再向</w:t>
      </w:r>
      <w:r>
        <w:rPr>
          <w:rFonts w:hint="eastAsia" w:cs="Times New Roman" w:asciiTheme="majorEastAsia" w:hAnsiTheme="majorEastAsia" w:eastAsiaTheme="majorEastAsia"/>
          <w:b w:val="0"/>
          <w:bCs/>
          <w:color w:val="auto"/>
          <w:sz w:val="24"/>
          <w:szCs w:val="24"/>
          <w:lang w:val="en-US" w:eastAsia="zh-CN"/>
        </w:rPr>
        <w:t>采购方收取任何费用。所有价格均应以人民币报价，金额单位为元。</w:t>
      </w:r>
    </w:p>
    <w:p w14:paraId="54D142D5">
      <w:pPr>
        <w:spacing w:line="360" w:lineRule="auto"/>
        <w:ind w:firstLine="420"/>
        <w:rPr>
          <w:rFonts w:hint="eastAsia" w:ascii="宋体" w:hAnsi="宋体"/>
          <w:color w:val="auto"/>
          <w:sz w:val="24"/>
          <w:lang w:val="en-US" w:eastAsia="zh-CN"/>
        </w:rPr>
      </w:pPr>
      <w:r>
        <w:rPr>
          <w:rFonts w:hint="eastAsia" w:ascii="宋体" w:hAnsi="宋体"/>
          <w:color w:val="auto"/>
          <w:sz w:val="24"/>
          <w:lang w:val="en-US" w:eastAsia="zh-CN"/>
        </w:rPr>
        <w:t>5.提供评分标准和细则要求提供的相关资料。</w:t>
      </w:r>
    </w:p>
    <w:p w14:paraId="3854A833">
      <w:pPr>
        <w:spacing w:line="360" w:lineRule="auto"/>
        <w:ind w:firstLine="420"/>
        <w:rPr>
          <w:rFonts w:hint="eastAsia" w:ascii="宋体" w:hAnsi="宋体"/>
          <w:color w:val="auto"/>
          <w:sz w:val="24"/>
          <w:lang w:val="en-US" w:eastAsia="zh-CN"/>
        </w:rPr>
      </w:pPr>
      <w:r>
        <w:rPr>
          <w:rFonts w:hint="eastAsia" w:ascii="宋体" w:hAnsi="宋体"/>
          <w:color w:val="auto"/>
          <w:sz w:val="24"/>
          <w:lang w:val="en-US" w:eastAsia="zh-CN"/>
        </w:rPr>
        <w:t>6.提供有效的营业执照、法人代表身份证复印件（加盖投标人法人公章）。</w:t>
      </w:r>
    </w:p>
    <w:p w14:paraId="249AE440">
      <w:pPr>
        <w:spacing w:line="360" w:lineRule="auto"/>
        <w:ind w:firstLine="420"/>
        <w:rPr>
          <w:rFonts w:hint="eastAsia" w:ascii="宋体" w:hAnsi="宋体"/>
          <w:color w:val="auto"/>
          <w:sz w:val="24"/>
          <w:lang w:val="en-US" w:eastAsia="zh-CN"/>
        </w:rPr>
      </w:pPr>
      <w:r>
        <w:rPr>
          <w:rFonts w:hint="eastAsia" w:ascii="宋体" w:hAnsi="宋体"/>
          <w:color w:val="auto"/>
          <w:sz w:val="24"/>
          <w:lang w:val="en-US" w:eastAsia="zh-CN"/>
        </w:rPr>
        <w:t>7.相关材料连同营业执照、法人代表身份证复印件装在同一密封袋内，在封口处加盖公章。</w:t>
      </w:r>
    </w:p>
    <w:p w14:paraId="1BF304B3">
      <w:pPr>
        <w:spacing w:line="360" w:lineRule="auto"/>
        <w:ind w:firstLine="420"/>
        <w:rPr>
          <w:rFonts w:hint="eastAsia" w:ascii="宋体" w:hAnsi="宋体"/>
          <w:color w:val="auto"/>
          <w:sz w:val="24"/>
        </w:rPr>
      </w:pPr>
      <w:r>
        <w:rPr>
          <w:rFonts w:hint="eastAsia" w:ascii="宋体" w:hAnsi="宋体"/>
          <w:color w:val="auto"/>
          <w:sz w:val="24"/>
        </w:rPr>
        <w:t>（二）标书编制的有关要求</w:t>
      </w:r>
    </w:p>
    <w:p w14:paraId="0B6F1231">
      <w:pPr>
        <w:spacing w:line="360" w:lineRule="auto"/>
        <w:ind w:firstLine="420"/>
        <w:rPr>
          <w:rFonts w:hint="eastAsia" w:ascii="宋体" w:hAnsi="宋体"/>
          <w:color w:val="auto"/>
          <w:sz w:val="24"/>
          <w:lang w:val="en-US" w:eastAsia="zh-CN"/>
        </w:rPr>
      </w:pPr>
      <w:r>
        <w:rPr>
          <w:rFonts w:hint="eastAsia" w:ascii="宋体" w:hAnsi="宋体"/>
          <w:color w:val="auto"/>
          <w:sz w:val="24"/>
          <w:lang w:val="en-US" w:eastAsia="zh-CN"/>
        </w:rPr>
        <w:t>1.投标人应充分分析市场的价格变动风险及本单位的承受能力，并不得低于成本价。</w:t>
      </w:r>
    </w:p>
    <w:p w14:paraId="5E675263">
      <w:pPr>
        <w:spacing w:line="360" w:lineRule="auto"/>
        <w:ind w:firstLine="420"/>
        <w:rPr>
          <w:rFonts w:hint="eastAsia" w:ascii="宋体" w:hAnsi="宋体"/>
          <w:color w:val="auto"/>
          <w:sz w:val="24"/>
          <w:lang w:val="en-US" w:eastAsia="zh-CN"/>
        </w:rPr>
      </w:pPr>
      <w:r>
        <w:rPr>
          <w:rFonts w:hint="eastAsia" w:ascii="宋体" w:hAnsi="宋体"/>
          <w:color w:val="auto"/>
          <w:sz w:val="24"/>
          <w:lang w:val="en-US" w:eastAsia="zh-CN"/>
        </w:rPr>
        <w:t>2.报价依据</w:t>
      </w:r>
    </w:p>
    <w:p w14:paraId="3476512B">
      <w:pPr>
        <w:spacing w:line="360" w:lineRule="auto"/>
        <w:ind w:firstLine="420"/>
        <w:rPr>
          <w:rFonts w:hint="eastAsia" w:ascii="宋体" w:hAnsi="宋体"/>
          <w:color w:val="auto"/>
          <w:sz w:val="24"/>
        </w:rPr>
      </w:pPr>
      <w:r>
        <w:rPr>
          <w:rFonts w:hint="eastAsia" w:ascii="宋体" w:hAnsi="宋体"/>
          <w:color w:val="auto"/>
          <w:sz w:val="24"/>
        </w:rPr>
        <w:t>﹙1﹚投标人按市场价并结合企业自身实力、技术和资金能力，以及企业自身素质进行报价。</w:t>
      </w:r>
    </w:p>
    <w:p w14:paraId="4D96E8F0">
      <w:pPr>
        <w:spacing w:line="360" w:lineRule="auto"/>
        <w:ind w:firstLine="420"/>
        <w:rPr>
          <w:rFonts w:hint="eastAsia" w:ascii="宋体" w:hAnsi="宋体"/>
          <w:color w:val="auto"/>
          <w:sz w:val="24"/>
        </w:rPr>
      </w:pPr>
      <w:r>
        <w:rPr>
          <w:rFonts w:hint="eastAsia" w:ascii="宋体" w:hAnsi="宋体"/>
          <w:color w:val="auto"/>
          <w:sz w:val="24"/>
        </w:rPr>
        <w:t>﹙2﹚招标文件。</w:t>
      </w:r>
    </w:p>
    <w:p w14:paraId="5272E793">
      <w:pPr>
        <w:spacing w:line="360" w:lineRule="auto"/>
        <w:ind w:firstLine="420"/>
        <w:rPr>
          <w:rFonts w:hint="eastAsia" w:ascii="宋体" w:hAnsi="宋体"/>
          <w:color w:val="auto"/>
          <w:sz w:val="24"/>
        </w:rPr>
      </w:pPr>
      <w:r>
        <w:rPr>
          <w:rFonts w:hint="eastAsia" w:ascii="宋体" w:hAnsi="宋体"/>
          <w:color w:val="auto"/>
          <w:sz w:val="24"/>
        </w:rPr>
        <w:t>﹙3﹚市场竞争。</w:t>
      </w:r>
    </w:p>
    <w:p w14:paraId="53489DF5">
      <w:pPr>
        <w:spacing w:line="360" w:lineRule="auto"/>
        <w:ind w:firstLine="420"/>
        <w:rPr>
          <w:rFonts w:hint="eastAsia" w:ascii="宋体" w:hAnsi="宋体"/>
          <w:color w:val="auto"/>
          <w:sz w:val="24"/>
        </w:rPr>
      </w:pPr>
      <w:r>
        <w:rPr>
          <w:rFonts w:hint="eastAsia" w:ascii="宋体" w:hAnsi="宋体"/>
          <w:color w:val="auto"/>
          <w:sz w:val="24"/>
        </w:rPr>
        <w:t>﹙4﹚国家现行的技术规范和省市有关管理规定。</w:t>
      </w:r>
    </w:p>
    <w:p w14:paraId="5A4F7FE8">
      <w:pPr>
        <w:spacing w:line="400" w:lineRule="exact"/>
        <w:ind w:firstLine="420"/>
        <w:rPr>
          <w:rFonts w:ascii="宋体" w:hAnsi="宋体"/>
          <w:b/>
          <w:color w:val="auto"/>
          <w:sz w:val="24"/>
        </w:rPr>
      </w:pPr>
      <w:r>
        <w:rPr>
          <w:rFonts w:hint="eastAsia" w:ascii="宋体" w:hAnsi="宋体"/>
          <w:b/>
          <w:color w:val="auto"/>
          <w:sz w:val="24"/>
          <w:lang w:eastAsia="zh-CN"/>
        </w:rPr>
        <w:t>六</w:t>
      </w:r>
      <w:r>
        <w:rPr>
          <w:rFonts w:hint="eastAsia" w:ascii="宋体" w:hAnsi="宋体"/>
          <w:b/>
          <w:color w:val="auto"/>
          <w:sz w:val="24"/>
        </w:rPr>
        <w:t>、评审方法</w:t>
      </w:r>
    </w:p>
    <w:p w14:paraId="5FEE719F">
      <w:pPr>
        <w:spacing w:line="360" w:lineRule="auto"/>
        <w:ind w:firstLine="420"/>
        <w:rPr>
          <w:rFonts w:ascii="宋体" w:hAnsi="宋体"/>
          <w:color w:val="auto"/>
          <w:sz w:val="24"/>
        </w:rPr>
      </w:pPr>
      <w:r>
        <w:rPr>
          <w:rFonts w:hint="eastAsia" w:ascii="宋体" w:hAnsi="宋体"/>
          <w:color w:val="auto"/>
          <w:sz w:val="24"/>
        </w:rPr>
        <w:t>（一）评审依据</w:t>
      </w:r>
    </w:p>
    <w:p w14:paraId="63C71D65">
      <w:pPr>
        <w:spacing w:line="360" w:lineRule="auto"/>
        <w:ind w:firstLine="420"/>
        <w:rPr>
          <w:rFonts w:ascii="宋体" w:hAnsi="宋体"/>
          <w:color w:val="auto"/>
          <w:sz w:val="24"/>
        </w:rPr>
      </w:pPr>
      <w:r>
        <w:rPr>
          <w:rFonts w:hint="eastAsia" w:ascii="宋体" w:hAnsi="宋体"/>
          <w:color w:val="auto"/>
          <w:sz w:val="24"/>
        </w:rPr>
        <w:t>评审工作依据国家及省、市颁布的有关法律、法规和广东省粤东技师学院关于采购管理的有关规定。</w:t>
      </w:r>
    </w:p>
    <w:p w14:paraId="4EE6CC9D">
      <w:pPr>
        <w:spacing w:line="360" w:lineRule="auto"/>
        <w:ind w:firstLine="420"/>
        <w:rPr>
          <w:rFonts w:ascii="宋体" w:hAnsi="宋体"/>
          <w:color w:val="auto"/>
          <w:sz w:val="24"/>
        </w:rPr>
      </w:pPr>
      <w:bookmarkStart w:id="1" w:name="_Hlt98173565"/>
      <w:bookmarkEnd w:id="1"/>
      <w:bookmarkStart w:id="2" w:name="_Toc402856446"/>
      <w:r>
        <w:rPr>
          <w:rFonts w:hint="eastAsia" w:ascii="宋体" w:hAnsi="宋体"/>
          <w:color w:val="auto"/>
          <w:sz w:val="24"/>
        </w:rPr>
        <w:t>（二）评审方法</w:t>
      </w:r>
    </w:p>
    <w:p w14:paraId="61ABDDAE">
      <w:pPr>
        <w:spacing w:line="360" w:lineRule="auto"/>
        <w:ind w:firstLine="420"/>
        <w:rPr>
          <w:rFonts w:hint="eastAsia" w:ascii="宋体" w:hAnsi="宋体"/>
          <w:color w:val="auto"/>
          <w:sz w:val="24"/>
          <w:lang w:val="en-US" w:eastAsia="zh-CN"/>
        </w:rPr>
      </w:pPr>
      <w:r>
        <w:rPr>
          <w:rFonts w:hint="eastAsia" w:ascii="宋体" w:hAnsi="宋体"/>
          <w:color w:val="auto"/>
          <w:sz w:val="24"/>
          <w:lang w:val="en-US" w:eastAsia="zh-CN"/>
        </w:rPr>
        <w:t>1.由广东省粤东技师学院组成评标委员会首先对投标人的投标文件按招标文件的规定进行有效性的审查，无效投标文件不得进入下一程序。有效投标文件必须三家或三家以上，否则重新招标。</w:t>
      </w:r>
    </w:p>
    <w:bookmarkEnd w:id="2"/>
    <w:p w14:paraId="5E17A09E">
      <w:pPr>
        <w:spacing w:line="360" w:lineRule="auto"/>
        <w:ind w:firstLine="420"/>
        <w:rPr>
          <w:rFonts w:hint="eastAsia" w:ascii="宋体" w:hAnsi="宋体"/>
          <w:color w:val="auto"/>
          <w:sz w:val="24"/>
          <w:lang w:val="en-US" w:eastAsia="zh-CN"/>
        </w:rPr>
      </w:pPr>
      <w:r>
        <w:rPr>
          <w:rFonts w:hint="eastAsia" w:ascii="宋体" w:hAnsi="宋体"/>
          <w:color w:val="auto"/>
          <w:sz w:val="24"/>
          <w:lang w:val="en-US" w:eastAsia="zh-CN"/>
        </w:rPr>
        <w:t>2.本项目采用以下评标办法确定中标人：最低评标价法，供应商能完全响应招标文件的前提下，最低报价的供应商为中标单位。</w:t>
      </w:r>
    </w:p>
    <w:p w14:paraId="5C5C265D">
      <w:pPr>
        <w:spacing w:line="360" w:lineRule="auto"/>
        <w:ind w:firstLine="420"/>
        <w:rPr>
          <w:rFonts w:hint="eastAsia" w:ascii="宋体" w:hAnsi="宋体"/>
          <w:color w:val="auto"/>
          <w:sz w:val="24"/>
          <w:lang w:val="en-US" w:eastAsia="zh-CN"/>
        </w:rPr>
      </w:pPr>
      <w:r>
        <w:rPr>
          <w:rFonts w:hint="eastAsia" w:ascii="宋体" w:hAnsi="宋体"/>
          <w:color w:val="auto"/>
          <w:sz w:val="24"/>
          <w:lang w:val="en-US" w:eastAsia="zh-CN"/>
        </w:rPr>
        <w:t>3.评审中出现下列情形之一的，评审委员会应当启动异常低价响应审查程序：</w:t>
      </w:r>
    </w:p>
    <w:p w14:paraId="2269C7AD">
      <w:pPr>
        <w:spacing w:line="360" w:lineRule="auto"/>
        <w:ind w:firstLine="420"/>
        <w:rPr>
          <w:rFonts w:hint="eastAsia" w:ascii="宋体" w:hAnsi="宋体"/>
          <w:color w:val="auto"/>
          <w:sz w:val="24"/>
          <w:lang w:val="en-US" w:eastAsia="zh-CN"/>
        </w:rPr>
      </w:pPr>
      <w:r>
        <w:rPr>
          <w:rFonts w:hint="eastAsia" w:ascii="宋体" w:hAnsi="宋体"/>
          <w:color w:val="auto"/>
          <w:sz w:val="24"/>
          <w:lang w:val="en-US" w:eastAsia="zh-CN"/>
        </w:rPr>
        <w:t>（1）响应报价低于全部通过符合性审查供应商响应报价平均值50%的，即响应报价&lt;全部通过符合性审查供应商响应报价平均值×50%；</w:t>
      </w:r>
    </w:p>
    <w:p w14:paraId="41583B12">
      <w:pPr>
        <w:spacing w:line="360" w:lineRule="auto"/>
        <w:ind w:firstLine="420"/>
        <w:rPr>
          <w:rFonts w:hint="eastAsia" w:ascii="宋体" w:hAnsi="宋体"/>
          <w:color w:val="auto"/>
          <w:sz w:val="24"/>
          <w:lang w:val="en-US" w:eastAsia="zh-CN"/>
        </w:rPr>
      </w:pPr>
      <w:r>
        <w:rPr>
          <w:rFonts w:hint="eastAsia" w:ascii="宋体" w:hAnsi="宋体"/>
          <w:color w:val="auto"/>
          <w:sz w:val="24"/>
          <w:lang w:val="en-US" w:eastAsia="zh-CN"/>
        </w:rPr>
        <w:t>（2）响应报价低于通过符合性审查且报价次低供应商响应报价50%的，即响应报价&lt;通过符合性审查且报价次低供应商响应报价×50%；</w:t>
      </w:r>
    </w:p>
    <w:p w14:paraId="7FCA463A">
      <w:pPr>
        <w:spacing w:line="360" w:lineRule="auto"/>
        <w:ind w:firstLine="420"/>
        <w:rPr>
          <w:rFonts w:hint="eastAsia" w:ascii="宋体" w:hAnsi="宋体"/>
          <w:color w:val="auto"/>
          <w:sz w:val="24"/>
          <w:lang w:val="en-US" w:eastAsia="zh-CN"/>
        </w:rPr>
      </w:pPr>
      <w:r>
        <w:rPr>
          <w:rFonts w:hint="eastAsia" w:ascii="宋体" w:hAnsi="宋体"/>
          <w:color w:val="auto"/>
          <w:sz w:val="24"/>
          <w:lang w:val="en-US" w:eastAsia="zh-CN"/>
        </w:rPr>
        <w:t>（3）响应报价低于采购项目最高限价45%的，即响应报价&lt;采购项目最高限价×45%；</w:t>
      </w:r>
    </w:p>
    <w:p w14:paraId="49E821F1">
      <w:pPr>
        <w:spacing w:line="360" w:lineRule="auto"/>
        <w:ind w:firstLine="420"/>
        <w:rPr>
          <w:rFonts w:hint="eastAsia" w:ascii="宋体" w:hAnsi="宋体"/>
          <w:color w:val="auto"/>
          <w:sz w:val="24"/>
          <w:lang w:val="en-US" w:eastAsia="zh-CN"/>
        </w:rPr>
      </w:pPr>
      <w:r>
        <w:rPr>
          <w:rFonts w:hint="eastAsia" w:ascii="宋体" w:hAnsi="宋体"/>
          <w:color w:val="auto"/>
          <w:sz w:val="24"/>
          <w:lang w:val="en-US" w:eastAsia="zh-CN"/>
        </w:rPr>
        <w:t>评审委员会将要求相关供应商在评审现场合理的时间内提供书面说明及必要的证明材料，对响应价格作出解释。书面说明、证明材料主要是项目具体成本测算等与报价合理性相关的说明、材料。评审委员会将依据专业经验对报价合理性进行判断。如果响应供应商不提供书面说明、证明材料，或者提供的书面说明、证明材料不能证明其报价合理性的，作为无效响应处理。审查相关情况在评审报告中记录。</w:t>
      </w:r>
    </w:p>
    <w:p w14:paraId="72DFA2E9">
      <w:pPr>
        <w:spacing w:line="360" w:lineRule="auto"/>
        <w:ind w:firstLine="420"/>
        <w:rPr>
          <w:rFonts w:hint="eastAsia" w:ascii="宋体" w:hAnsi="宋体"/>
          <w:color w:val="auto"/>
          <w:sz w:val="24"/>
          <w:lang w:val="en-US" w:eastAsia="zh-CN"/>
        </w:rPr>
      </w:pPr>
      <w:r>
        <w:rPr>
          <w:rFonts w:hint="eastAsia" w:ascii="宋体" w:hAnsi="宋体"/>
          <w:color w:val="auto"/>
          <w:sz w:val="24"/>
          <w:lang w:val="en-US" w:eastAsia="zh-CN"/>
        </w:rPr>
        <w:t>（三）确定中标单位</w:t>
      </w:r>
    </w:p>
    <w:p w14:paraId="65723E05">
      <w:pPr>
        <w:spacing w:line="360" w:lineRule="auto"/>
        <w:ind w:firstLine="420"/>
        <w:rPr>
          <w:rFonts w:hint="eastAsia" w:ascii="宋体" w:hAnsi="宋体"/>
          <w:color w:val="auto"/>
          <w:sz w:val="24"/>
          <w:lang w:val="en-US" w:eastAsia="zh-CN"/>
        </w:rPr>
      </w:pPr>
      <w:r>
        <w:rPr>
          <w:rFonts w:hint="eastAsia" w:ascii="宋体" w:hAnsi="宋体"/>
          <w:color w:val="auto"/>
          <w:sz w:val="24"/>
          <w:lang w:val="en-US" w:eastAsia="zh-CN"/>
        </w:rPr>
        <w:t>根据上述的评标办法，评出本项目的中标单位，并将评审结果上报学院领导确认。中标通知书经确认后由招标人签发。招标人不接受非中标单位的查询，也不对不中标原因作出任何解释。</w:t>
      </w:r>
    </w:p>
    <w:p w14:paraId="16671C97">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本招标文件的解释权和修正权归招标人所有。</w:t>
      </w:r>
    </w:p>
    <w:p w14:paraId="74A08EB9">
      <w:pPr>
        <w:spacing w:line="360" w:lineRule="auto"/>
        <w:ind w:firstLine="420"/>
        <w:rPr>
          <w:rFonts w:ascii="宋体" w:hAnsi="宋体"/>
          <w:color w:val="000000"/>
          <w:sz w:val="24"/>
        </w:rPr>
      </w:pPr>
    </w:p>
    <w:p w14:paraId="3DDD984A">
      <w:pPr>
        <w:spacing w:line="360" w:lineRule="auto"/>
        <w:ind w:firstLine="420"/>
        <w:rPr>
          <w:rFonts w:ascii="宋体" w:hAnsi="宋体"/>
          <w:color w:val="000000"/>
          <w:sz w:val="24"/>
        </w:rPr>
      </w:pPr>
    </w:p>
    <w:p w14:paraId="251615CD">
      <w:pPr>
        <w:spacing w:line="360" w:lineRule="auto"/>
        <w:ind w:firstLine="420"/>
        <w:rPr>
          <w:rFonts w:ascii="宋体" w:hAnsi="宋体"/>
          <w:color w:val="000000"/>
          <w:sz w:val="24"/>
        </w:rPr>
      </w:pPr>
    </w:p>
    <w:p w14:paraId="7B9B8818">
      <w:pPr>
        <w:spacing w:line="360" w:lineRule="auto"/>
        <w:ind w:firstLine="420"/>
        <w:rPr>
          <w:rFonts w:ascii="宋体" w:hAnsi="宋体"/>
          <w:color w:val="000000"/>
          <w:sz w:val="24"/>
        </w:rPr>
      </w:pPr>
    </w:p>
    <w:p w14:paraId="3C084BEC">
      <w:pPr>
        <w:spacing w:line="360" w:lineRule="exact"/>
        <w:rPr>
          <w:rFonts w:ascii="宋体" w:hAnsi="宋体"/>
          <w:b/>
          <w:kern w:val="28"/>
          <w:sz w:val="36"/>
          <w:szCs w:val="36"/>
        </w:rPr>
      </w:pPr>
    </w:p>
    <w:p w14:paraId="59ADF4C9">
      <w:pPr>
        <w:rPr>
          <w:rFonts w:hint="eastAsia" w:ascii="宋体" w:hAnsi="宋体"/>
          <w:b/>
          <w:kern w:val="28"/>
          <w:sz w:val="36"/>
          <w:szCs w:val="36"/>
        </w:rPr>
      </w:pPr>
      <w:r>
        <w:rPr>
          <w:rFonts w:hint="eastAsia" w:ascii="宋体" w:hAnsi="宋体"/>
          <w:b/>
          <w:kern w:val="28"/>
          <w:sz w:val="36"/>
          <w:szCs w:val="36"/>
        </w:rPr>
        <w:br w:type="page"/>
      </w:r>
    </w:p>
    <w:p w14:paraId="17ED30FB">
      <w:pPr>
        <w:spacing w:line="360" w:lineRule="auto"/>
        <w:jc w:val="center"/>
        <w:rPr>
          <w:rFonts w:ascii="宋体" w:hAnsi="宋体"/>
          <w:b/>
          <w:kern w:val="28"/>
          <w:sz w:val="36"/>
          <w:szCs w:val="36"/>
        </w:rPr>
      </w:pPr>
      <w:r>
        <w:rPr>
          <w:rFonts w:hint="eastAsia" w:ascii="宋体" w:hAnsi="宋体"/>
          <w:b/>
          <w:kern w:val="28"/>
          <w:sz w:val="36"/>
          <w:szCs w:val="36"/>
        </w:rPr>
        <w:t>投标文件格式</w:t>
      </w:r>
    </w:p>
    <w:p w14:paraId="613A0F08">
      <w:pPr>
        <w:spacing w:line="360" w:lineRule="exact"/>
        <w:jc w:val="center"/>
        <w:rPr>
          <w:rFonts w:ascii="宋体" w:hAnsi="宋体"/>
          <w:b/>
          <w:kern w:val="28"/>
          <w:sz w:val="36"/>
          <w:szCs w:val="36"/>
        </w:rPr>
      </w:pPr>
      <w:r>
        <w:rPr>
          <w:rFonts w:hint="eastAsia" w:ascii="宋体" w:hAnsi="宋体"/>
          <w:b/>
          <w:kern w:val="28"/>
          <w:sz w:val="36"/>
          <w:szCs w:val="36"/>
        </w:rPr>
        <w:t>报 价 函</w:t>
      </w:r>
    </w:p>
    <w:p w14:paraId="66BAF7F7">
      <w:pPr>
        <w:shd w:val="clear" w:color="auto" w:fill="FFFFFF"/>
        <w:spacing w:line="400" w:lineRule="exact"/>
        <w:rPr>
          <w:rFonts w:ascii="宋体" w:hAnsi="宋体"/>
          <w:b w:val="0"/>
          <w:bCs w:val="0"/>
          <w:sz w:val="24"/>
        </w:rPr>
      </w:pPr>
      <w:r>
        <w:rPr>
          <w:rFonts w:hint="eastAsia" w:ascii="宋体" w:hAnsi="宋体"/>
          <w:b w:val="0"/>
          <w:bCs w:val="0"/>
          <w:sz w:val="24"/>
        </w:rPr>
        <w:t>广东省粤东技师学院：</w:t>
      </w:r>
    </w:p>
    <w:p w14:paraId="1D132147">
      <w:pPr>
        <w:spacing w:line="400" w:lineRule="exact"/>
        <w:ind w:firstLine="720" w:firstLineChars="300"/>
        <w:rPr>
          <w:rFonts w:ascii="宋体" w:hAnsi="宋体"/>
          <w:sz w:val="24"/>
          <w:u w:val="single"/>
        </w:rPr>
      </w:pPr>
      <w:r>
        <w:rPr>
          <w:rFonts w:hint="eastAsia" w:ascii="宋体" w:hAnsi="宋体"/>
          <w:sz w:val="24"/>
        </w:rPr>
        <w:t>我方己仔细研究了</w:t>
      </w:r>
      <w:r>
        <w:rPr>
          <w:rFonts w:hint="eastAsia" w:ascii="宋体" w:hAnsi="宋体"/>
          <w:sz w:val="24"/>
          <w:lang w:eastAsia="zh-CN"/>
        </w:rPr>
        <w:t>202</w:t>
      </w:r>
      <w:r>
        <w:rPr>
          <w:rFonts w:hint="eastAsia" w:ascii="宋体" w:hAnsi="宋体"/>
          <w:sz w:val="24"/>
          <w:lang w:val="en-US" w:eastAsia="zh-CN"/>
        </w:rPr>
        <w:t>5</w:t>
      </w:r>
      <w:r>
        <w:rPr>
          <w:rFonts w:hint="eastAsia" w:ascii="宋体" w:hAnsi="宋体"/>
          <w:sz w:val="24"/>
          <w:lang w:eastAsia="zh-CN"/>
        </w:rPr>
        <w:t>年新生体检服务项</w:t>
      </w:r>
      <w:r>
        <w:rPr>
          <w:rFonts w:hint="eastAsia" w:ascii="宋体" w:hAnsi="宋体" w:eastAsia="宋体" w:cs="Times New Roman"/>
          <w:sz w:val="24"/>
          <w:lang w:eastAsia="zh-CN"/>
        </w:rPr>
        <w:t>目（采购编号：</w:t>
      </w:r>
      <w:r>
        <w:rPr>
          <w:rFonts w:hint="eastAsia" w:ascii="宋体" w:hAnsi="宋体" w:eastAsia="宋体" w:cs="Times New Roman"/>
          <w:sz w:val="24"/>
          <w:lang w:val="en-US" w:eastAsia="zh-CN"/>
        </w:rPr>
        <w:t>XGB2025005</w:t>
      </w:r>
      <w:r>
        <w:rPr>
          <w:rFonts w:hint="eastAsia" w:ascii="宋体" w:hAnsi="宋体" w:eastAsia="宋体" w:cs="Times New Roman"/>
          <w:sz w:val="24"/>
          <w:lang w:eastAsia="zh-CN"/>
        </w:rPr>
        <w:t>）</w:t>
      </w:r>
      <w:r>
        <w:rPr>
          <w:rFonts w:hint="eastAsia" w:ascii="宋体" w:hAnsi="宋体"/>
          <w:sz w:val="24"/>
        </w:rPr>
        <w:t>项目招标文件的全部内容，愿意以人民币（大写）</w:t>
      </w:r>
      <w:r>
        <w:rPr>
          <w:rFonts w:hint="eastAsia" w:ascii="宋体" w:hAnsi="宋体"/>
          <w:sz w:val="24"/>
          <w:u w:val="single"/>
        </w:rPr>
        <w:t xml:space="preserve">                                                         </w:t>
      </w:r>
    </w:p>
    <w:p w14:paraId="5CC2A094">
      <w:pPr>
        <w:shd w:val="clear" w:color="auto" w:fill="FFFFFF"/>
        <w:spacing w:line="400" w:lineRule="exact"/>
        <w:rPr>
          <w:rFonts w:hint="eastAsia" w:ascii="宋体" w:hAnsi="宋体"/>
          <w:sz w:val="24"/>
        </w:rPr>
      </w:pPr>
      <w:r>
        <w:rPr>
          <w:rFonts w:hint="eastAsia" w:ascii="宋体" w:hAnsi="宋体"/>
          <w:sz w:val="24"/>
        </w:rPr>
        <w:t>（￥</w:t>
      </w:r>
      <w:r>
        <w:rPr>
          <w:rFonts w:hint="eastAsia" w:ascii="宋体" w:hAnsi="宋体"/>
          <w:sz w:val="24"/>
          <w:u w:val="single"/>
        </w:rPr>
        <w:t>                   </w:t>
      </w:r>
      <w:r>
        <w:rPr>
          <w:rFonts w:hint="eastAsia" w:ascii="宋体" w:hAnsi="宋体"/>
          <w:sz w:val="24"/>
        </w:rPr>
        <w:t>）作为本项目</w:t>
      </w:r>
      <w:r>
        <w:rPr>
          <w:rFonts w:hint="eastAsia" w:ascii="宋体" w:hAnsi="宋体"/>
          <w:sz w:val="24"/>
          <w:lang w:eastAsia="zh-CN"/>
        </w:rPr>
        <w:t>报价</w:t>
      </w:r>
      <w:r>
        <w:rPr>
          <w:rFonts w:hint="eastAsia" w:ascii="宋体" w:hAnsi="宋体"/>
          <w:sz w:val="24"/>
        </w:rPr>
        <w:t>。详见以下报价表：</w:t>
      </w:r>
    </w:p>
    <w:p w14:paraId="182C25B3">
      <w:pPr>
        <w:shd w:val="clear" w:color="auto" w:fill="FFFFFF"/>
        <w:spacing w:line="400" w:lineRule="exact"/>
        <w:rPr>
          <w:rFonts w:hint="eastAsia" w:ascii="宋体" w:hAnsi="宋体"/>
          <w:sz w:val="24"/>
        </w:rPr>
      </w:pPr>
    </w:p>
    <w:p w14:paraId="14E0EA1E">
      <w:pPr>
        <w:pStyle w:val="4"/>
        <w:ind w:firstLine="480"/>
        <w:jc w:val="center"/>
        <w:rPr>
          <w:rFonts w:hint="eastAsia" w:ascii="宋体" w:hAnsi="宋体"/>
          <w:sz w:val="24"/>
        </w:rPr>
      </w:pPr>
      <w:r>
        <w:rPr>
          <w:rFonts w:hint="eastAsia" w:ascii="宋体" w:hAnsi="宋体"/>
          <w:sz w:val="24"/>
        </w:rPr>
        <w:t>服务内容</w:t>
      </w:r>
    </w:p>
    <w:p w14:paraId="6D888042">
      <w:pPr>
        <w:pStyle w:val="4"/>
        <w:ind w:firstLine="480"/>
        <w:jc w:val="center"/>
        <w:rPr>
          <w:rFonts w:hint="eastAsia" w:ascii="宋体" w:hAnsi="宋体"/>
          <w:sz w:val="24"/>
        </w:rPr>
      </w:pPr>
    </w:p>
    <w:tbl>
      <w:tblPr>
        <w:tblStyle w:val="17"/>
        <w:tblW w:w="4961" w:type="pct"/>
        <w:tblInd w:w="0" w:type="dxa"/>
        <w:tblLayout w:type="fixed"/>
        <w:tblCellMar>
          <w:top w:w="0" w:type="dxa"/>
          <w:left w:w="0" w:type="dxa"/>
          <w:bottom w:w="0" w:type="dxa"/>
          <w:right w:w="0" w:type="dxa"/>
        </w:tblCellMar>
      </w:tblPr>
      <w:tblGrid>
        <w:gridCol w:w="899"/>
        <w:gridCol w:w="1248"/>
        <w:gridCol w:w="5808"/>
        <w:gridCol w:w="1538"/>
      </w:tblGrid>
      <w:tr w14:paraId="3FE0CD3C">
        <w:tblPrEx>
          <w:tblCellMar>
            <w:top w:w="0" w:type="dxa"/>
            <w:left w:w="0" w:type="dxa"/>
            <w:bottom w:w="0" w:type="dxa"/>
            <w:right w:w="0" w:type="dxa"/>
          </w:tblCellMar>
        </w:tblPrEx>
        <w:trPr>
          <w:trHeight w:val="600" w:hRule="atLeast"/>
        </w:trPr>
        <w:tc>
          <w:tcPr>
            <w:tcW w:w="4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759D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序号</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34CC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检查项目</w:t>
            </w:r>
          </w:p>
        </w:tc>
        <w:tc>
          <w:tcPr>
            <w:tcW w:w="30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BDAF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检查内容</w:t>
            </w:r>
          </w:p>
        </w:tc>
        <w:tc>
          <w:tcPr>
            <w:tcW w:w="8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7A3E2">
            <w:pPr>
              <w:widowControl/>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价格</w:t>
            </w:r>
            <w:r>
              <w:rPr>
                <w:rFonts w:hint="eastAsia" w:ascii="宋体" w:hAnsi="宋体" w:cs="宋体"/>
                <w:color w:val="auto"/>
                <w:kern w:val="0"/>
                <w:sz w:val="24"/>
                <w:szCs w:val="24"/>
                <w:lang w:eastAsia="zh-CN"/>
              </w:rPr>
              <w:t>（元）</w:t>
            </w:r>
          </w:p>
        </w:tc>
      </w:tr>
      <w:tr w14:paraId="52427B49">
        <w:tblPrEx>
          <w:tblCellMar>
            <w:top w:w="0" w:type="dxa"/>
            <w:left w:w="0" w:type="dxa"/>
            <w:bottom w:w="0" w:type="dxa"/>
            <w:right w:w="0" w:type="dxa"/>
          </w:tblCellMar>
        </w:tblPrEx>
        <w:trPr>
          <w:trHeight w:val="600" w:hRule="atLeast"/>
        </w:trPr>
        <w:tc>
          <w:tcPr>
            <w:tcW w:w="4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7769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7CFA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一般检查</w:t>
            </w:r>
          </w:p>
        </w:tc>
        <w:tc>
          <w:tcPr>
            <w:tcW w:w="30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E2260">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身高、体重、血压</w:t>
            </w:r>
          </w:p>
        </w:tc>
        <w:tc>
          <w:tcPr>
            <w:tcW w:w="8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6BB94">
            <w:pPr>
              <w:widowControl/>
              <w:jc w:val="left"/>
              <w:textAlignment w:val="center"/>
              <w:rPr>
                <w:rFonts w:hint="eastAsia" w:ascii="宋体" w:hAnsi="宋体" w:eastAsia="宋体" w:cs="宋体"/>
                <w:color w:val="auto"/>
                <w:kern w:val="0"/>
                <w:sz w:val="24"/>
                <w:szCs w:val="24"/>
              </w:rPr>
            </w:pPr>
          </w:p>
        </w:tc>
      </w:tr>
      <w:tr w14:paraId="63151A4D">
        <w:tblPrEx>
          <w:tblCellMar>
            <w:top w:w="0" w:type="dxa"/>
            <w:left w:w="0" w:type="dxa"/>
            <w:bottom w:w="0" w:type="dxa"/>
            <w:right w:w="0" w:type="dxa"/>
          </w:tblCellMar>
        </w:tblPrEx>
        <w:trPr>
          <w:trHeight w:val="600" w:hRule="atLeast"/>
        </w:trPr>
        <w:tc>
          <w:tcPr>
            <w:tcW w:w="4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29081">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4CF84">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内科</w:t>
            </w:r>
          </w:p>
        </w:tc>
        <w:tc>
          <w:tcPr>
            <w:tcW w:w="30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83ED6">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（包括脉搏、心肺、肝脾、肺结核病症状筛选）</w:t>
            </w:r>
          </w:p>
        </w:tc>
        <w:tc>
          <w:tcPr>
            <w:tcW w:w="8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4EAEF">
            <w:pPr>
              <w:widowControl/>
              <w:jc w:val="left"/>
              <w:textAlignment w:val="center"/>
              <w:rPr>
                <w:rFonts w:hint="eastAsia" w:ascii="宋体" w:hAnsi="宋体" w:eastAsia="宋体" w:cs="宋体"/>
                <w:color w:val="auto"/>
                <w:kern w:val="0"/>
                <w:sz w:val="24"/>
                <w:szCs w:val="24"/>
              </w:rPr>
            </w:pPr>
          </w:p>
        </w:tc>
      </w:tr>
      <w:tr w14:paraId="0C033029">
        <w:tblPrEx>
          <w:tblCellMar>
            <w:top w:w="0" w:type="dxa"/>
            <w:left w:w="0" w:type="dxa"/>
            <w:bottom w:w="0" w:type="dxa"/>
            <w:right w:w="0" w:type="dxa"/>
          </w:tblCellMar>
        </w:tblPrEx>
        <w:trPr>
          <w:trHeight w:val="600" w:hRule="atLeast"/>
        </w:trPr>
        <w:tc>
          <w:tcPr>
            <w:tcW w:w="4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183F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3</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6565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外科</w:t>
            </w:r>
          </w:p>
        </w:tc>
        <w:tc>
          <w:tcPr>
            <w:tcW w:w="30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19224">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（包括头部、颈部、甲状腺、胸部、腹部、脊柱、四肢、皮肤）</w:t>
            </w:r>
          </w:p>
        </w:tc>
        <w:tc>
          <w:tcPr>
            <w:tcW w:w="8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E1976">
            <w:pPr>
              <w:widowControl/>
              <w:jc w:val="left"/>
              <w:textAlignment w:val="center"/>
              <w:rPr>
                <w:rFonts w:hint="eastAsia" w:ascii="宋体" w:hAnsi="宋体" w:eastAsia="宋体" w:cs="宋体"/>
                <w:color w:val="auto"/>
                <w:kern w:val="0"/>
                <w:sz w:val="24"/>
                <w:szCs w:val="24"/>
              </w:rPr>
            </w:pPr>
          </w:p>
        </w:tc>
      </w:tr>
      <w:tr w14:paraId="051574EC">
        <w:tblPrEx>
          <w:tblCellMar>
            <w:top w:w="0" w:type="dxa"/>
            <w:left w:w="0" w:type="dxa"/>
            <w:bottom w:w="0" w:type="dxa"/>
            <w:right w:w="0" w:type="dxa"/>
          </w:tblCellMar>
        </w:tblPrEx>
        <w:trPr>
          <w:trHeight w:val="600" w:hRule="atLeast"/>
        </w:trPr>
        <w:tc>
          <w:tcPr>
            <w:tcW w:w="4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5B3F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4</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74F2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五官科</w:t>
            </w:r>
          </w:p>
        </w:tc>
        <w:tc>
          <w:tcPr>
            <w:tcW w:w="30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DA0FF">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（包括视力、辨色力、耳、听力、嗅觉、眼鼻、喉、扁桃体）</w:t>
            </w:r>
          </w:p>
        </w:tc>
        <w:tc>
          <w:tcPr>
            <w:tcW w:w="8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1D3F3E">
            <w:pPr>
              <w:widowControl/>
              <w:jc w:val="left"/>
              <w:textAlignment w:val="center"/>
              <w:rPr>
                <w:rFonts w:hint="eastAsia" w:ascii="宋体" w:hAnsi="宋体" w:eastAsia="宋体" w:cs="宋体"/>
                <w:color w:val="auto"/>
                <w:kern w:val="0"/>
                <w:sz w:val="24"/>
                <w:szCs w:val="24"/>
              </w:rPr>
            </w:pPr>
          </w:p>
        </w:tc>
      </w:tr>
      <w:tr w14:paraId="723BD2F5">
        <w:tblPrEx>
          <w:tblCellMar>
            <w:top w:w="0" w:type="dxa"/>
            <w:left w:w="0" w:type="dxa"/>
            <w:bottom w:w="0" w:type="dxa"/>
            <w:right w:w="0" w:type="dxa"/>
          </w:tblCellMar>
        </w:tblPrEx>
        <w:trPr>
          <w:trHeight w:val="600" w:hRule="atLeast"/>
        </w:trPr>
        <w:tc>
          <w:tcPr>
            <w:tcW w:w="4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3AEA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5</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6832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化验</w:t>
            </w:r>
          </w:p>
        </w:tc>
        <w:tc>
          <w:tcPr>
            <w:tcW w:w="30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42606">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血常规、肝功能：（谷丙转氨酶、谷草转氨酶、总蛋白、白蛋白、球蛋白、总胆红素、直接胆红素、间接胆红素）</w:t>
            </w:r>
          </w:p>
        </w:tc>
        <w:tc>
          <w:tcPr>
            <w:tcW w:w="8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B0671">
            <w:pPr>
              <w:widowControl/>
              <w:jc w:val="left"/>
              <w:textAlignment w:val="center"/>
              <w:rPr>
                <w:rFonts w:hint="eastAsia" w:ascii="宋体" w:hAnsi="宋体" w:eastAsia="宋体" w:cs="宋体"/>
                <w:color w:val="auto"/>
                <w:kern w:val="0"/>
                <w:sz w:val="24"/>
                <w:szCs w:val="24"/>
              </w:rPr>
            </w:pPr>
          </w:p>
        </w:tc>
      </w:tr>
      <w:tr w14:paraId="09AF0C85">
        <w:tblPrEx>
          <w:tblCellMar>
            <w:top w:w="0" w:type="dxa"/>
            <w:left w:w="0" w:type="dxa"/>
            <w:bottom w:w="0" w:type="dxa"/>
            <w:right w:w="0" w:type="dxa"/>
          </w:tblCellMar>
        </w:tblPrEx>
        <w:trPr>
          <w:trHeight w:val="600" w:hRule="atLeast"/>
        </w:trPr>
        <w:tc>
          <w:tcPr>
            <w:tcW w:w="4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5588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6</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0E3D6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DR</w:t>
            </w:r>
          </w:p>
        </w:tc>
        <w:tc>
          <w:tcPr>
            <w:tcW w:w="30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3D28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胸部正位片</w:t>
            </w:r>
          </w:p>
        </w:tc>
        <w:tc>
          <w:tcPr>
            <w:tcW w:w="8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ED75C">
            <w:pPr>
              <w:widowControl/>
              <w:jc w:val="center"/>
              <w:textAlignment w:val="center"/>
              <w:rPr>
                <w:rFonts w:hint="eastAsia" w:ascii="宋体" w:hAnsi="宋体" w:eastAsia="宋体" w:cs="宋体"/>
                <w:color w:val="auto"/>
                <w:kern w:val="0"/>
                <w:sz w:val="24"/>
                <w:szCs w:val="24"/>
              </w:rPr>
            </w:pPr>
          </w:p>
        </w:tc>
      </w:tr>
      <w:tr w14:paraId="45C8919B">
        <w:tblPrEx>
          <w:tblCellMar>
            <w:top w:w="0" w:type="dxa"/>
            <w:left w:w="0" w:type="dxa"/>
            <w:bottom w:w="0" w:type="dxa"/>
            <w:right w:w="0" w:type="dxa"/>
          </w:tblCellMar>
        </w:tblPrEx>
        <w:trPr>
          <w:trHeight w:val="600" w:hRule="atLeast"/>
        </w:trPr>
        <w:tc>
          <w:tcPr>
            <w:tcW w:w="419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F843A">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合计：</w:t>
            </w:r>
          </w:p>
        </w:tc>
        <w:tc>
          <w:tcPr>
            <w:tcW w:w="8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ABC65">
            <w:pPr>
              <w:widowControl/>
              <w:jc w:val="center"/>
              <w:textAlignment w:val="center"/>
              <w:rPr>
                <w:rFonts w:hint="eastAsia" w:ascii="宋体" w:hAnsi="宋体" w:eastAsia="宋体" w:cs="宋体"/>
                <w:color w:val="auto"/>
                <w:kern w:val="0"/>
                <w:sz w:val="24"/>
                <w:szCs w:val="24"/>
              </w:rPr>
            </w:pPr>
          </w:p>
        </w:tc>
      </w:tr>
    </w:tbl>
    <w:p w14:paraId="1AAF4693">
      <w:pPr>
        <w:shd w:val="clear" w:color="auto" w:fill="FFFFFF"/>
        <w:spacing w:line="360" w:lineRule="atLeast"/>
        <w:ind w:firstLine="480"/>
      </w:pPr>
      <w:r>
        <w:rPr>
          <w:rFonts w:hint="eastAsia" w:ascii="宋体" w:hAnsi="宋体"/>
          <w:sz w:val="24"/>
        </w:rPr>
        <w:t>在此，我方声明如下：</w:t>
      </w:r>
    </w:p>
    <w:p w14:paraId="11B88AAF">
      <w:pPr>
        <w:shd w:val="clear" w:color="auto" w:fill="FFFFFF"/>
        <w:spacing w:line="360" w:lineRule="atLeast"/>
        <w:ind w:firstLine="480"/>
        <w:rPr>
          <w:rFonts w:ascii="宋体" w:hAnsi="宋体"/>
          <w:sz w:val="24"/>
        </w:rPr>
      </w:pPr>
      <w:r>
        <w:rPr>
          <w:rFonts w:hint="eastAsia" w:ascii="宋体" w:hAnsi="宋体"/>
          <w:sz w:val="24"/>
        </w:rPr>
        <w:t>1.同意并接受采购文件的各项要求，遵守采购文件中的各项规定，按采购文件的要求提供报价。</w:t>
      </w:r>
    </w:p>
    <w:p w14:paraId="3C06EB66">
      <w:pPr>
        <w:shd w:val="clear" w:color="auto" w:fill="FFFFFF"/>
        <w:spacing w:line="360" w:lineRule="atLeast"/>
        <w:ind w:firstLine="480"/>
        <w:rPr>
          <w:rFonts w:ascii="宋体" w:hAnsi="宋体"/>
          <w:sz w:val="24"/>
        </w:rPr>
      </w:pPr>
      <w:r>
        <w:rPr>
          <w:rFonts w:hint="eastAsia" w:ascii="宋体" w:hAnsi="宋体"/>
          <w:sz w:val="24"/>
        </w:rPr>
        <w:t>2. 我方如果是中标供应商，将保证履行</w:t>
      </w:r>
      <w:r>
        <w:rPr>
          <w:rFonts w:hint="eastAsia" w:ascii="宋体" w:hAnsi="宋体"/>
          <w:color w:val="000000"/>
          <w:sz w:val="24"/>
        </w:rPr>
        <w:t>招标</w:t>
      </w:r>
      <w:r>
        <w:rPr>
          <w:rFonts w:hint="eastAsia" w:ascii="宋体" w:hAnsi="宋体"/>
          <w:sz w:val="24"/>
        </w:rPr>
        <w:t>文件中的全部责任和义务，按质、按量、按期完成。</w:t>
      </w:r>
    </w:p>
    <w:p w14:paraId="0900F168">
      <w:pPr>
        <w:shd w:val="clear" w:color="auto" w:fill="FFFFFF"/>
        <w:spacing w:line="360" w:lineRule="atLeast"/>
        <w:ind w:firstLine="480"/>
        <w:rPr>
          <w:rFonts w:ascii="宋体" w:hAnsi="宋体"/>
          <w:sz w:val="24"/>
        </w:rPr>
      </w:pPr>
      <w:r>
        <w:rPr>
          <w:rFonts w:hint="eastAsia" w:ascii="宋体" w:hAnsi="宋体"/>
          <w:sz w:val="24"/>
        </w:rPr>
        <w:t>3.我方承诺在本次报价响应中提供的一切文件，无论是原件还是复印件均为真实和准确的，绝无任何虚假、伪造和夸大的成份，否则，愿承担相应的后果和法律责任。</w:t>
      </w:r>
    </w:p>
    <w:p w14:paraId="1E64EF54">
      <w:pPr>
        <w:shd w:val="clear" w:color="auto" w:fill="FFFFFF"/>
        <w:spacing w:line="360" w:lineRule="atLeast"/>
        <w:ind w:firstLine="480"/>
        <w:rPr>
          <w:rFonts w:ascii="宋体" w:hAnsi="宋体"/>
          <w:sz w:val="24"/>
        </w:rPr>
      </w:pPr>
      <w:r>
        <w:rPr>
          <w:rFonts w:hint="eastAsia" w:ascii="宋体" w:hAnsi="宋体"/>
          <w:sz w:val="24"/>
        </w:rPr>
        <w:t>4.我方完全服从和尊重学院评标委员会所作的评定结果。</w:t>
      </w:r>
    </w:p>
    <w:p w14:paraId="4A952C18">
      <w:pPr>
        <w:shd w:val="clear" w:color="auto" w:fill="FFFFFF"/>
        <w:spacing w:line="440" w:lineRule="exact"/>
        <w:rPr>
          <w:rFonts w:ascii="仿宋_GB2312" w:eastAsia="仿宋_GB2312"/>
          <w:sz w:val="24"/>
          <w:u w:val="single"/>
        </w:rPr>
      </w:pPr>
      <w:r>
        <w:rPr>
          <w:rFonts w:hint="eastAsia" w:ascii="宋体" w:hAnsi="宋体"/>
          <w:sz w:val="24"/>
        </w:rPr>
        <w:t>响应供应商名称(公章)</w:t>
      </w:r>
      <w:r>
        <w:rPr>
          <w:rFonts w:hint="eastAsia" w:ascii="仿宋_GB2312" w:eastAsia="仿宋_GB2312"/>
          <w:sz w:val="24"/>
        </w:rPr>
        <w:t>：</w:t>
      </w:r>
      <w:r>
        <w:rPr>
          <w:rFonts w:hint="eastAsia" w:ascii="仿宋_GB2312" w:eastAsia="仿宋_GB2312"/>
          <w:sz w:val="24"/>
          <w:u w:val="single"/>
        </w:rPr>
        <w:t>                                                   </w:t>
      </w:r>
    </w:p>
    <w:p w14:paraId="2CAAD8F7">
      <w:pPr>
        <w:shd w:val="clear" w:color="auto" w:fill="FFFFFF"/>
        <w:spacing w:line="440" w:lineRule="exact"/>
        <w:ind w:right="246"/>
        <w:rPr>
          <w:rFonts w:ascii="仿宋_GB2312" w:eastAsia="仿宋_GB2312"/>
          <w:sz w:val="24"/>
          <w:u w:val="single"/>
        </w:rPr>
      </w:pPr>
      <w:r>
        <w:rPr>
          <w:rFonts w:hint="eastAsia" w:ascii="宋体" w:hAnsi="宋体"/>
          <w:sz w:val="24"/>
        </w:rPr>
        <w:t>地址：</w:t>
      </w:r>
      <w:r>
        <w:rPr>
          <w:rFonts w:hint="eastAsia" w:ascii="仿宋_GB2312" w:eastAsia="仿宋_GB2312"/>
          <w:sz w:val="24"/>
          <w:u w:val="single"/>
        </w:rPr>
        <w:t>                                                                       </w:t>
      </w:r>
    </w:p>
    <w:p w14:paraId="2177EBD6">
      <w:pPr>
        <w:shd w:val="clear" w:color="auto" w:fill="FFFFFF"/>
        <w:spacing w:line="440" w:lineRule="exact"/>
        <w:ind w:right="33"/>
        <w:rPr>
          <w:rFonts w:ascii="仿宋_GB2312" w:eastAsia="仿宋_GB2312"/>
          <w:sz w:val="24"/>
        </w:rPr>
      </w:pPr>
      <w:r>
        <w:rPr>
          <w:rFonts w:hint="eastAsia" w:ascii="宋体" w:hAnsi="宋体"/>
          <w:sz w:val="24"/>
        </w:rPr>
        <w:t>电话：</w:t>
      </w:r>
      <w:r>
        <w:rPr>
          <w:rFonts w:hint="eastAsia" w:ascii="仿宋_GB2312" w:eastAsia="仿宋_GB2312"/>
          <w:sz w:val="24"/>
          <w:u w:val="single"/>
        </w:rPr>
        <w:t>                                                                      </w:t>
      </w:r>
    </w:p>
    <w:p w14:paraId="55FC3A6E">
      <w:pPr>
        <w:shd w:val="clear" w:color="auto" w:fill="FFFFFF"/>
        <w:spacing w:line="440" w:lineRule="exact"/>
        <w:ind w:right="246"/>
        <w:rPr>
          <w:rFonts w:ascii="仿宋_GB2312" w:eastAsia="仿宋_GB2312"/>
          <w:sz w:val="24"/>
          <w:u w:val="single"/>
        </w:rPr>
      </w:pPr>
      <w:r>
        <w:rPr>
          <w:rFonts w:hint="eastAsia" w:ascii="宋体" w:hAnsi="宋体"/>
          <w:sz w:val="24"/>
        </w:rPr>
        <w:t>响应供应商（法定代表人授权代表）代表签字： </w:t>
      </w:r>
      <w:r>
        <w:rPr>
          <w:rFonts w:hint="eastAsia" w:ascii="仿宋_GB2312" w:eastAsia="仿宋_GB2312"/>
          <w:sz w:val="24"/>
          <w:u w:val="single"/>
        </w:rPr>
        <w:t>                       </w:t>
      </w:r>
    </w:p>
    <w:p w14:paraId="7EBB71B6">
      <w:pPr>
        <w:shd w:val="clear" w:color="auto" w:fill="FFFFFF"/>
        <w:spacing w:line="440" w:lineRule="exact"/>
        <w:ind w:right="246"/>
        <w:rPr>
          <w:rFonts w:ascii="仿宋_GB2312" w:eastAsia="仿宋_GB2312"/>
          <w:sz w:val="24"/>
          <w:u w:val="single"/>
        </w:rPr>
      </w:pPr>
      <w:r>
        <w:rPr>
          <w:rFonts w:hint="eastAsia" w:ascii="宋体" w:hAnsi="宋体"/>
          <w:sz w:val="24"/>
        </w:rPr>
        <w:t>开户银行</w:t>
      </w:r>
      <w:r>
        <w:rPr>
          <w:rFonts w:hint="eastAsia" w:ascii="仿宋_GB2312" w:eastAsia="仿宋_GB2312"/>
          <w:sz w:val="24"/>
        </w:rPr>
        <w:t>：</w:t>
      </w:r>
      <w:r>
        <w:rPr>
          <w:rFonts w:hint="eastAsia" w:ascii="仿宋_GB2312" w:eastAsia="仿宋_GB2312"/>
          <w:sz w:val="24"/>
          <w:u w:val="single"/>
        </w:rPr>
        <w:t>                                                               </w:t>
      </w:r>
    </w:p>
    <w:p w14:paraId="0B2530F7">
      <w:pPr>
        <w:shd w:val="clear" w:color="auto" w:fill="FFFFFF"/>
        <w:spacing w:line="440" w:lineRule="exact"/>
        <w:ind w:right="246"/>
        <w:rPr>
          <w:rFonts w:ascii="仿宋_GB2312" w:eastAsia="仿宋_GB2312"/>
          <w:sz w:val="24"/>
        </w:rPr>
      </w:pPr>
      <w:r>
        <w:rPr>
          <w:rFonts w:hint="eastAsia" w:ascii="宋体" w:hAnsi="宋体"/>
          <w:sz w:val="24"/>
        </w:rPr>
        <w:t>帐号</w:t>
      </w:r>
      <w:r>
        <w:rPr>
          <w:rFonts w:hint="eastAsia" w:ascii="仿宋_GB2312" w:eastAsia="仿宋_GB2312"/>
          <w:sz w:val="24"/>
        </w:rPr>
        <w:t>：</w:t>
      </w:r>
      <w:r>
        <w:rPr>
          <w:rFonts w:hint="eastAsia" w:ascii="仿宋_GB2312" w:eastAsia="仿宋_GB2312"/>
          <w:sz w:val="24"/>
          <w:u w:val="single"/>
        </w:rPr>
        <w:t>                                                                     </w:t>
      </w:r>
    </w:p>
    <w:p w14:paraId="1B6DD49E">
      <w:pPr>
        <w:shd w:val="clear" w:color="auto" w:fill="FFFFFF"/>
        <w:spacing w:line="440" w:lineRule="exact"/>
        <w:ind w:right="246"/>
        <w:rPr>
          <w:rFonts w:hint="eastAsia" w:ascii="宋体" w:hAnsi="宋体" w:cs="宋体"/>
          <w:b/>
          <w:bCs/>
          <w:sz w:val="32"/>
          <w:szCs w:val="32"/>
          <w:lang w:val="zh-CN"/>
        </w:rPr>
      </w:pPr>
      <w:r>
        <w:rPr>
          <w:rFonts w:hint="eastAsia" w:ascii="宋体" w:hAnsi="宋体"/>
          <w:sz w:val="24"/>
        </w:rPr>
        <w:t>日期</w:t>
      </w:r>
      <w:r>
        <w:rPr>
          <w:rFonts w:hint="eastAsia" w:ascii="仿宋_GB2312" w:eastAsia="仿宋_GB2312"/>
          <w:sz w:val="24"/>
        </w:rPr>
        <w:t>：</w:t>
      </w:r>
      <w:r>
        <w:rPr>
          <w:rFonts w:hint="eastAsia" w:ascii="仿宋_GB2312" w:eastAsia="仿宋_GB2312"/>
          <w:sz w:val="24"/>
          <w:u w:val="single"/>
        </w:rPr>
        <w:t>                                                                     </w:t>
      </w:r>
      <w:bookmarkStart w:id="3" w:name="_Toc268515023"/>
    </w:p>
    <w:p w14:paraId="63494D68">
      <w:pPr>
        <w:keepNext/>
        <w:keepLines/>
        <w:pageBreakBefore w:val="0"/>
        <w:widowControl w:val="0"/>
        <w:tabs>
          <w:tab w:val="left" w:pos="525"/>
        </w:tabs>
        <w:kinsoku/>
        <w:wordWrap/>
        <w:overflowPunct/>
        <w:topLinePunct w:val="0"/>
        <w:autoSpaceDE/>
        <w:autoSpaceDN/>
        <w:bidi w:val="0"/>
        <w:adjustRightInd/>
        <w:snapToGrid/>
        <w:spacing w:line="360" w:lineRule="auto"/>
        <w:ind w:left="0" w:firstLine="0"/>
        <w:textAlignment w:val="auto"/>
        <w:rPr>
          <w:rFonts w:ascii="宋体" w:hAnsi="宋体" w:cs="宋体"/>
          <w:b/>
          <w:bCs/>
          <w:sz w:val="32"/>
          <w:szCs w:val="32"/>
          <w:lang w:val="zh-CN"/>
        </w:rPr>
      </w:pPr>
      <w:r>
        <w:rPr>
          <w:rFonts w:hint="eastAsia" w:ascii="宋体" w:hAnsi="宋体" w:cs="宋体"/>
          <w:b/>
          <w:bCs/>
          <w:sz w:val="32"/>
          <w:szCs w:val="32"/>
          <w:lang w:val="zh-CN"/>
        </w:rPr>
        <w:t>附件</w:t>
      </w:r>
      <w:r>
        <w:rPr>
          <w:rFonts w:hint="eastAsia" w:ascii="宋体" w:hAnsi="宋体" w:cs="宋体"/>
          <w:b/>
          <w:bCs/>
          <w:sz w:val="32"/>
          <w:szCs w:val="32"/>
        </w:rPr>
        <w:t>1</w:t>
      </w:r>
      <w:r>
        <w:rPr>
          <w:rFonts w:hint="eastAsia" w:ascii="宋体" w:hAnsi="宋体" w:cs="宋体"/>
          <w:b/>
          <w:bCs/>
          <w:sz w:val="32"/>
          <w:szCs w:val="32"/>
          <w:lang w:val="zh-CN"/>
        </w:rPr>
        <w:t>、</w:t>
      </w:r>
      <w:bookmarkEnd w:id="3"/>
      <w:r>
        <w:rPr>
          <w:rFonts w:hint="eastAsia" w:ascii="宋体" w:hAnsi="宋体" w:cs="宋体"/>
          <w:b/>
          <w:bCs/>
          <w:sz w:val="32"/>
          <w:szCs w:val="32"/>
          <w:lang w:val="zh-CN"/>
        </w:rPr>
        <w:t>报价人通过“信用中国”网站与中国政府采购网查询到的信用记录截图</w:t>
      </w:r>
    </w:p>
    <w:p w14:paraId="3CA2C27F">
      <w:pPr>
        <w:pageBreakBefore w:val="0"/>
        <w:widowControl w:val="0"/>
        <w:kinsoku/>
        <w:wordWrap/>
        <w:overflowPunct/>
        <w:topLinePunct w:val="0"/>
        <w:autoSpaceDE/>
        <w:autoSpaceDN/>
        <w:bidi w:val="0"/>
        <w:adjustRightInd/>
        <w:snapToGrid/>
        <w:spacing w:line="360" w:lineRule="auto"/>
        <w:ind w:left="0" w:firstLine="0"/>
        <w:textAlignment w:val="auto"/>
        <w:rPr>
          <w:rFonts w:ascii="宋体" w:hAnsi="宋体" w:cs="宋体"/>
          <w:szCs w:val="21"/>
        </w:rPr>
      </w:pPr>
      <w:r>
        <w:rPr>
          <w:rFonts w:hint="eastAsia" w:ascii="宋体" w:hAnsi="宋体" w:cs="宋体"/>
          <w:szCs w:val="21"/>
        </w:rPr>
        <w:t>注：“信用中国”网站网址：www.creditchina.gov.cn；中国政府采购网网址：www.ccgp.gov.cn。</w:t>
      </w:r>
    </w:p>
    <w:p w14:paraId="6A9DDE6E">
      <w:pPr>
        <w:keepNext/>
        <w:keepLines/>
        <w:pageBreakBefore w:val="0"/>
        <w:widowControl w:val="0"/>
        <w:tabs>
          <w:tab w:val="left" w:pos="525"/>
        </w:tabs>
        <w:kinsoku/>
        <w:wordWrap/>
        <w:overflowPunct/>
        <w:topLinePunct w:val="0"/>
        <w:autoSpaceDE/>
        <w:autoSpaceDN/>
        <w:bidi w:val="0"/>
        <w:adjustRightInd w:val="0"/>
        <w:snapToGrid w:val="0"/>
        <w:spacing w:line="360" w:lineRule="auto"/>
        <w:ind w:left="0" w:firstLine="0"/>
        <w:textAlignment w:val="auto"/>
        <w:rPr>
          <w:rFonts w:ascii="宋体" w:hAnsi="宋体" w:cs="宋体"/>
          <w:b/>
          <w:bCs/>
          <w:sz w:val="32"/>
          <w:szCs w:val="32"/>
          <w:lang w:val="zh-CN"/>
        </w:rPr>
      </w:pPr>
    </w:p>
    <w:p w14:paraId="440D9E65">
      <w:pPr>
        <w:keepNext/>
        <w:keepLines/>
        <w:spacing w:before="260" w:after="260" w:line="416" w:lineRule="auto"/>
        <w:outlineLvl w:val="1"/>
        <w:rPr>
          <w:rFonts w:ascii="宋体" w:hAnsi="宋体" w:eastAsia="黑体" w:cs="宋体"/>
          <w:b/>
          <w:bCs/>
          <w:sz w:val="32"/>
          <w:szCs w:val="32"/>
          <w:lang w:val="zh-CN"/>
        </w:rPr>
      </w:pPr>
    </w:p>
    <w:p w14:paraId="1CCCD930">
      <w:pPr>
        <w:rPr>
          <w:rFonts w:ascii="宋体" w:hAnsi="宋体" w:cs="宋体"/>
          <w:b/>
          <w:bCs/>
          <w:sz w:val="32"/>
          <w:szCs w:val="32"/>
          <w:lang w:val="zh-CN"/>
        </w:rPr>
      </w:pPr>
    </w:p>
    <w:p w14:paraId="406BF36C">
      <w:pPr>
        <w:keepNext/>
        <w:keepLines/>
        <w:spacing w:before="260" w:after="260" w:line="416" w:lineRule="auto"/>
        <w:outlineLvl w:val="1"/>
        <w:rPr>
          <w:rFonts w:ascii="宋体" w:hAnsi="宋体" w:eastAsia="黑体" w:cs="宋体"/>
          <w:b/>
          <w:bCs/>
          <w:sz w:val="32"/>
          <w:szCs w:val="32"/>
          <w:lang w:val="zh-CN"/>
        </w:rPr>
      </w:pPr>
    </w:p>
    <w:p w14:paraId="218F4D98">
      <w:pPr>
        <w:rPr>
          <w:rFonts w:ascii="宋体" w:hAnsi="宋体" w:cs="宋体"/>
          <w:b/>
          <w:bCs/>
          <w:sz w:val="32"/>
          <w:szCs w:val="32"/>
          <w:lang w:val="zh-CN"/>
        </w:rPr>
      </w:pPr>
    </w:p>
    <w:p w14:paraId="1A11F2A2">
      <w:pPr>
        <w:keepNext/>
        <w:keepLines/>
        <w:spacing w:before="260" w:after="260" w:line="416" w:lineRule="auto"/>
        <w:outlineLvl w:val="1"/>
        <w:rPr>
          <w:rFonts w:ascii="宋体" w:hAnsi="宋体" w:eastAsia="黑体" w:cs="宋体"/>
          <w:b/>
          <w:bCs/>
          <w:sz w:val="32"/>
          <w:szCs w:val="32"/>
          <w:lang w:val="zh-CN"/>
        </w:rPr>
      </w:pPr>
    </w:p>
    <w:p w14:paraId="135F5E28">
      <w:pPr>
        <w:rPr>
          <w:rFonts w:ascii="宋体" w:hAnsi="宋体" w:cs="宋体"/>
          <w:b/>
          <w:bCs/>
          <w:sz w:val="32"/>
          <w:szCs w:val="32"/>
          <w:lang w:val="zh-CN"/>
        </w:rPr>
      </w:pPr>
    </w:p>
    <w:p w14:paraId="7978E1CC">
      <w:pPr>
        <w:keepNext/>
        <w:keepLines/>
        <w:spacing w:before="260" w:after="260" w:line="416" w:lineRule="auto"/>
        <w:outlineLvl w:val="1"/>
        <w:rPr>
          <w:rFonts w:ascii="宋体" w:hAnsi="宋体" w:eastAsia="黑体" w:cs="宋体"/>
          <w:b/>
          <w:bCs/>
          <w:sz w:val="32"/>
          <w:szCs w:val="32"/>
          <w:lang w:val="zh-CN"/>
        </w:rPr>
      </w:pPr>
    </w:p>
    <w:p w14:paraId="4F73B68A">
      <w:pPr>
        <w:keepNext/>
        <w:keepLines/>
        <w:spacing w:before="260" w:after="260" w:line="416" w:lineRule="auto"/>
        <w:outlineLvl w:val="1"/>
        <w:rPr>
          <w:rFonts w:ascii="宋体" w:hAnsi="宋体" w:eastAsia="黑体" w:cs="宋体"/>
          <w:b/>
          <w:bCs/>
          <w:sz w:val="32"/>
          <w:szCs w:val="32"/>
          <w:lang w:val="zh-CN"/>
        </w:rPr>
      </w:pPr>
    </w:p>
    <w:p w14:paraId="6C762D94">
      <w:pPr>
        <w:rPr>
          <w:rFonts w:ascii="宋体" w:hAnsi="宋体" w:cs="宋体"/>
          <w:b/>
          <w:bCs/>
          <w:sz w:val="32"/>
          <w:szCs w:val="32"/>
          <w:lang w:val="zh-CN"/>
        </w:rPr>
      </w:pPr>
    </w:p>
    <w:p w14:paraId="64FB499A">
      <w:pPr>
        <w:keepNext/>
        <w:keepLines/>
        <w:spacing w:before="260" w:after="260" w:line="416" w:lineRule="auto"/>
        <w:outlineLvl w:val="1"/>
        <w:rPr>
          <w:rFonts w:ascii="宋体" w:hAnsi="宋体" w:eastAsia="黑体" w:cs="宋体"/>
          <w:b/>
          <w:bCs/>
          <w:sz w:val="32"/>
          <w:szCs w:val="32"/>
          <w:lang w:val="zh-CN"/>
        </w:rPr>
      </w:pPr>
    </w:p>
    <w:p w14:paraId="07157CA0">
      <w:pPr>
        <w:rPr>
          <w:rFonts w:ascii="宋体" w:hAnsi="宋体" w:cs="宋体"/>
          <w:b/>
          <w:bCs/>
          <w:sz w:val="32"/>
          <w:szCs w:val="32"/>
          <w:lang w:val="zh-CN"/>
        </w:rPr>
      </w:pPr>
    </w:p>
    <w:p w14:paraId="6653DB2F">
      <w:pPr>
        <w:keepNext/>
        <w:keepLines/>
        <w:spacing w:before="260" w:after="260" w:line="416" w:lineRule="auto"/>
        <w:outlineLvl w:val="1"/>
        <w:rPr>
          <w:rFonts w:ascii="宋体" w:hAnsi="宋体" w:eastAsia="黑体" w:cs="宋体"/>
          <w:b/>
          <w:bCs/>
          <w:sz w:val="32"/>
          <w:szCs w:val="32"/>
          <w:lang w:val="zh-CN"/>
        </w:rPr>
      </w:pPr>
    </w:p>
    <w:p w14:paraId="2F039BDF">
      <w:pPr>
        <w:rPr>
          <w:rFonts w:ascii="宋体" w:hAnsi="宋体" w:cs="宋体"/>
          <w:b/>
          <w:bCs/>
          <w:sz w:val="32"/>
          <w:szCs w:val="32"/>
          <w:lang w:val="zh-CN"/>
        </w:rPr>
      </w:pPr>
    </w:p>
    <w:p w14:paraId="797DB584">
      <w:pPr>
        <w:rPr>
          <w:rFonts w:ascii="宋体" w:hAnsi="宋体" w:cs="宋体"/>
          <w:b/>
          <w:bCs/>
          <w:sz w:val="32"/>
          <w:szCs w:val="32"/>
          <w:lang w:val="zh-CN"/>
        </w:rPr>
      </w:pPr>
    </w:p>
    <w:p w14:paraId="36708145">
      <w:pPr>
        <w:rPr>
          <w:rFonts w:ascii="宋体" w:hAnsi="宋体" w:cs="宋体"/>
          <w:b/>
          <w:bCs/>
          <w:sz w:val="32"/>
          <w:szCs w:val="32"/>
          <w:lang w:val="zh-CN"/>
        </w:rPr>
      </w:pPr>
    </w:p>
    <w:p w14:paraId="3FA97C63">
      <w:pPr>
        <w:rPr>
          <w:rFonts w:hint="eastAsia" w:ascii="宋体" w:hAnsi="宋体" w:cs="宋体"/>
          <w:b/>
          <w:bCs/>
          <w:sz w:val="32"/>
          <w:szCs w:val="32"/>
          <w:lang w:val="zh-CN"/>
        </w:rPr>
      </w:pPr>
      <w:r>
        <w:rPr>
          <w:rFonts w:hint="eastAsia" w:ascii="宋体" w:hAnsi="宋体" w:cs="宋体"/>
          <w:b/>
          <w:bCs/>
          <w:sz w:val="32"/>
          <w:szCs w:val="32"/>
          <w:lang w:val="zh-CN"/>
        </w:rPr>
        <w:br w:type="page"/>
      </w:r>
    </w:p>
    <w:p w14:paraId="3F471900">
      <w:pPr>
        <w:keepNext/>
        <w:keepLines/>
        <w:tabs>
          <w:tab w:val="left" w:pos="525"/>
        </w:tabs>
        <w:adjustRightInd w:val="0"/>
        <w:snapToGrid w:val="0"/>
        <w:spacing w:line="360" w:lineRule="auto"/>
        <w:ind w:left="527" w:hanging="527"/>
        <w:rPr>
          <w:rFonts w:ascii="宋体" w:hAnsi="宋体" w:cs="宋体"/>
          <w:b/>
          <w:bCs/>
          <w:sz w:val="32"/>
          <w:szCs w:val="32"/>
          <w:lang w:val="zh-CN"/>
        </w:rPr>
      </w:pPr>
      <w:r>
        <w:rPr>
          <w:rFonts w:hint="eastAsia" w:ascii="宋体" w:hAnsi="宋体" w:cs="宋体"/>
          <w:b/>
          <w:bCs/>
          <w:sz w:val="32"/>
          <w:szCs w:val="32"/>
          <w:lang w:val="zh-CN"/>
        </w:rPr>
        <w:t>附件</w:t>
      </w:r>
      <w:r>
        <w:rPr>
          <w:rFonts w:hint="eastAsia" w:ascii="宋体" w:hAnsi="宋体" w:cs="宋体"/>
          <w:b/>
          <w:bCs/>
          <w:sz w:val="32"/>
          <w:szCs w:val="32"/>
        </w:rPr>
        <w:t>2</w:t>
      </w:r>
      <w:r>
        <w:rPr>
          <w:rFonts w:hint="eastAsia" w:ascii="宋体" w:hAnsi="宋体" w:cs="宋体"/>
          <w:b/>
          <w:bCs/>
          <w:sz w:val="32"/>
          <w:szCs w:val="32"/>
          <w:lang w:val="zh-CN"/>
        </w:rPr>
        <w:t>、</w:t>
      </w:r>
      <w:r>
        <w:rPr>
          <w:rFonts w:hint="eastAsia" w:ascii="宋体" w:hAnsi="宋体" w:cs="宋体"/>
          <w:b/>
          <w:bCs/>
          <w:sz w:val="32"/>
          <w:szCs w:val="32"/>
        </w:rPr>
        <w:t>关于投标人资格的声明函</w:t>
      </w:r>
    </w:p>
    <w:p w14:paraId="50809258">
      <w:pPr>
        <w:rPr>
          <w:rFonts w:ascii="宋体" w:hAnsi="宋体" w:cs="宋体"/>
          <w:lang w:val="zh-CN"/>
        </w:rPr>
      </w:pPr>
    </w:p>
    <w:p w14:paraId="756E0F32">
      <w:pPr>
        <w:autoSpaceDE w:val="0"/>
        <w:autoSpaceDN w:val="0"/>
        <w:adjustRightInd w:val="0"/>
        <w:snapToGrid w:val="0"/>
        <w:spacing w:line="288" w:lineRule="auto"/>
        <w:jc w:val="center"/>
        <w:rPr>
          <w:rFonts w:ascii="宋体" w:hAnsi="宋体" w:cs="宋体"/>
          <w:b/>
          <w:bCs/>
          <w:kern w:val="0"/>
          <w:sz w:val="32"/>
          <w:szCs w:val="32"/>
        </w:rPr>
      </w:pPr>
      <w:r>
        <w:rPr>
          <w:rFonts w:hint="eastAsia" w:ascii="宋体" w:hAnsi="宋体" w:cs="宋体"/>
          <w:b/>
          <w:bCs/>
          <w:kern w:val="0"/>
          <w:sz w:val="32"/>
          <w:szCs w:val="32"/>
        </w:rPr>
        <w:t>关于投标人资格的声明函</w:t>
      </w:r>
    </w:p>
    <w:p w14:paraId="696C0623">
      <w:pPr>
        <w:autoSpaceDE w:val="0"/>
        <w:autoSpaceDN w:val="0"/>
        <w:adjustRightInd w:val="0"/>
        <w:snapToGrid w:val="0"/>
        <w:spacing w:line="408" w:lineRule="auto"/>
        <w:jc w:val="left"/>
        <w:rPr>
          <w:rFonts w:ascii="宋体" w:hAnsi="宋体" w:cs="宋体"/>
          <w:kern w:val="0"/>
          <w:sz w:val="13"/>
          <w:szCs w:val="13"/>
        </w:rPr>
      </w:pPr>
    </w:p>
    <w:p w14:paraId="05ADF238">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致采购人：</w:t>
      </w:r>
    </w:p>
    <w:p w14:paraId="66F52840">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关于你方单位组织的采购项目“</w:t>
      </w:r>
      <w:r>
        <w:rPr>
          <w:rFonts w:hint="eastAsia" w:ascii="宋体" w:hAnsi="宋体" w:cs="宋体"/>
          <w:kern w:val="0"/>
          <w:szCs w:val="21"/>
          <w:lang w:val="en-US" w:eastAsia="zh-CN"/>
        </w:rPr>
        <w:t xml:space="preserve">  </w:t>
      </w:r>
      <w:r>
        <w:rPr>
          <w:rFonts w:hint="eastAsia" w:ascii="宋体" w:hAnsi="宋体" w:cs="宋体"/>
          <w:kern w:val="0"/>
          <w:szCs w:val="21"/>
        </w:rPr>
        <w:t>（采购编号：）”，我单位自愿参与本项目投标，同时声明：</w:t>
      </w:r>
    </w:p>
    <w:p w14:paraId="3CF5A9E9">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一、我单位所提供的用于本项目投标的一切书面证明材料（包含本声明函所声明的内容）均属实，如出现提供虚假证明材料或发表虚假声明，所造成的一切损失、不良后果及法律责任均由我单位承担，我单位愿意接受相关处罚，并放弃可能获得的本项目中标人资格。</w:t>
      </w:r>
    </w:p>
    <w:p w14:paraId="75917EF8">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二、我单位完全具备《中华人民共和国政府采购法》第二十二条所规定的下列条件：</w:t>
      </w:r>
    </w:p>
    <w:p w14:paraId="048EA340">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（一）具有独立承担民事责任的能力；</w:t>
      </w:r>
    </w:p>
    <w:p w14:paraId="62537B20">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（二）具有良好的商业信誉和健全的财务会计制度；</w:t>
      </w:r>
    </w:p>
    <w:p w14:paraId="764B5B82">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（三）具有履行合同所必需的设备和专业技术能力；</w:t>
      </w:r>
    </w:p>
    <w:p w14:paraId="6B3FD551">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（四）有依法缴纳税收和社会保障资金的良好记录；</w:t>
      </w:r>
    </w:p>
    <w:p w14:paraId="208578EA">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（五）参加政府采购活动前三年内，在经营活动中没有重大违法记录；</w:t>
      </w:r>
    </w:p>
    <w:p w14:paraId="02CDF678">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（六）法律、行政法规规定的其他条件。</w:t>
      </w:r>
    </w:p>
    <w:p w14:paraId="3D4D5B7C">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三、我</w:t>
      </w:r>
      <w:r>
        <w:rPr>
          <w:rFonts w:hint="eastAsia" w:ascii="宋体" w:hAnsi="宋体" w:cs="宋体"/>
          <w:bCs/>
          <w:szCs w:val="21"/>
        </w:rPr>
        <w:t>单位与本项目其他报价人不存在负责人为同一人的情况，也不存在直接控股、管理的关系，我单位承诺不携同存在上述关系的其他单位共同</w:t>
      </w:r>
      <w:r>
        <w:rPr>
          <w:rFonts w:hint="eastAsia" w:ascii="宋体" w:hAnsi="宋体" w:cs="宋体"/>
          <w:kern w:val="0"/>
          <w:szCs w:val="21"/>
        </w:rPr>
        <w:t>参与本项目投标。</w:t>
      </w:r>
    </w:p>
    <w:p w14:paraId="52D93441">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四、我</w:t>
      </w:r>
      <w:r>
        <w:rPr>
          <w:rFonts w:hint="eastAsia" w:ascii="宋体" w:hAnsi="宋体" w:cs="宋体"/>
          <w:bCs/>
          <w:szCs w:val="21"/>
        </w:rPr>
        <w:t>单位</w:t>
      </w:r>
      <w:r>
        <w:rPr>
          <w:rFonts w:hint="eastAsia" w:ascii="宋体" w:hAnsi="宋体" w:cs="宋体"/>
          <w:kern w:val="0"/>
          <w:szCs w:val="21"/>
        </w:rPr>
        <w:t>承诺在参与</w:t>
      </w:r>
      <w:r>
        <w:rPr>
          <w:rFonts w:hint="eastAsia" w:ascii="宋体" w:hAnsi="宋体" w:cs="宋体"/>
          <w:szCs w:val="21"/>
        </w:rPr>
        <w:t>本项目采购活动的过程</w:t>
      </w:r>
      <w:r>
        <w:rPr>
          <w:rFonts w:hint="eastAsia" w:ascii="宋体" w:hAnsi="宋体" w:cs="宋体"/>
          <w:kern w:val="0"/>
          <w:szCs w:val="21"/>
        </w:rPr>
        <w:t>中遵纪守法，不采取不正当的手段谋取项目中标，并承诺绝不出现下列情形：</w:t>
      </w:r>
    </w:p>
    <w:p w14:paraId="347CBEA8">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（一）提供虚假材料谋取中标、成交的；</w:t>
      </w:r>
    </w:p>
    <w:p w14:paraId="04AB421B">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（二）采取不正当手段诋毁、排挤其他供应商的；</w:t>
      </w:r>
    </w:p>
    <w:p w14:paraId="30CA046C">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（三）与采购人或其他供应商恶意串通的；</w:t>
      </w:r>
    </w:p>
    <w:p w14:paraId="2F77EB40">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（四）向采购人行贿或者提供其他不正当利益的；</w:t>
      </w:r>
    </w:p>
    <w:p w14:paraId="7E17033A">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（五）在招标采购过程中与采购人进行协商谈判的；</w:t>
      </w:r>
    </w:p>
    <w:p w14:paraId="377149FC">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（六）拒绝有关部门监督检查或者提供虚假情况的。</w:t>
      </w:r>
    </w:p>
    <w:p w14:paraId="2CAC6BD3">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特此声明！</w:t>
      </w:r>
    </w:p>
    <w:p w14:paraId="38936EF9">
      <w:pPr>
        <w:widowControl/>
        <w:jc w:val="left"/>
        <w:rPr>
          <w:rFonts w:ascii="宋体" w:hAnsi="宋体" w:cs="宋体"/>
          <w:sz w:val="15"/>
          <w:szCs w:val="15"/>
        </w:rPr>
      </w:pPr>
    </w:p>
    <w:p w14:paraId="14388BBE">
      <w:pPr>
        <w:autoSpaceDE w:val="0"/>
        <w:autoSpaceDN w:val="0"/>
        <w:adjustRightInd w:val="0"/>
        <w:snapToGrid w:val="0"/>
        <w:spacing w:line="360" w:lineRule="auto"/>
        <w:ind w:firstLine="4678" w:firstLineChars="2228"/>
        <w:jc w:val="left"/>
        <w:rPr>
          <w:rFonts w:ascii="宋体" w:hAnsi="宋体" w:cs="宋体"/>
          <w:kern w:val="0"/>
          <w:szCs w:val="21"/>
        </w:rPr>
      </w:pPr>
    </w:p>
    <w:p w14:paraId="6494AB18">
      <w:pPr>
        <w:autoSpaceDE w:val="0"/>
        <w:autoSpaceDN w:val="0"/>
        <w:adjustRightInd w:val="0"/>
        <w:snapToGrid w:val="0"/>
        <w:spacing w:line="360" w:lineRule="auto"/>
        <w:ind w:firstLine="4678" w:firstLineChars="2228"/>
        <w:jc w:val="left"/>
        <w:rPr>
          <w:rFonts w:ascii="宋体" w:hAnsi="宋体" w:cs="宋体"/>
          <w:kern w:val="0"/>
          <w:szCs w:val="21"/>
        </w:rPr>
      </w:pPr>
    </w:p>
    <w:p w14:paraId="6D94E720">
      <w:pPr>
        <w:autoSpaceDE w:val="0"/>
        <w:autoSpaceDN w:val="0"/>
        <w:adjustRightInd w:val="0"/>
        <w:snapToGrid w:val="0"/>
        <w:spacing w:line="360" w:lineRule="auto"/>
        <w:ind w:firstLine="4678" w:firstLineChars="2228"/>
        <w:jc w:val="left"/>
        <w:rPr>
          <w:rFonts w:ascii="宋体" w:hAnsi="宋体" w:cs="宋体"/>
          <w:kern w:val="0"/>
          <w:szCs w:val="21"/>
        </w:rPr>
      </w:pPr>
    </w:p>
    <w:p w14:paraId="16C3950E">
      <w:pPr>
        <w:autoSpaceDE w:val="0"/>
        <w:autoSpaceDN w:val="0"/>
        <w:adjustRightInd w:val="0"/>
        <w:snapToGrid w:val="0"/>
        <w:spacing w:line="360" w:lineRule="auto"/>
        <w:ind w:firstLine="4678" w:firstLineChars="2228"/>
        <w:jc w:val="left"/>
        <w:rPr>
          <w:rFonts w:ascii="宋体" w:hAnsi="宋体" w:cs="宋体"/>
          <w:kern w:val="0"/>
          <w:szCs w:val="21"/>
        </w:rPr>
      </w:pPr>
      <w:r>
        <w:rPr>
          <w:rFonts w:hint="eastAsia" w:ascii="宋体" w:hAnsi="宋体" w:cs="宋体"/>
          <w:kern w:val="0"/>
          <w:szCs w:val="21"/>
        </w:rPr>
        <w:t>报价人（投标人公章）：</w:t>
      </w:r>
    </w:p>
    <w:p w14:paraId="7B505DB3">
      <w:pPr>
        <w:autoSpaceDE w:val="0"/>
        <w:autoSpaceDN w:val="0"/>
        <w:adjustRightInd w:val="0"/>
        <w:snapToGrid w:val="0"/>
        <w:spacing w:line="360" w:lineRule="auto"/>
        <w:ind w:firstLine="4678" w:firstLineChars="2228"/>
        <w:jc w:val="left"/>
        <w:rPr>
          <w:rFonts w:ascii="宋体" w:hAnsi="宋体" w:cs="宋体"/>
          <w:kern w:val="0"/>
          <w:szCs w:val="21"/>
        </w:rPr>
      </w:pPr>
      <w:r>
        <w:rPr>
          <w:rFonts w:hint="eastAsia" w:ascii="宋体" w:hAnsi="宋体" w:cs="宋体"/>
          <w:kern w:val="0"/>
          <w:szCs w:val="21"/>
        </w:rPr>
        <w:t>法定代表人或授权代表（签字）：</w:t>
      </w:r>
    </w:p>
    <w:p w14:paraId="1DC08E29">
      <w:pPr>
        <w:spacing w:line="360" w:lineRule="exact"/>
        <w:jc w:val="center"/>
        <w:rPr>
          <w:rFonts w:ascii="宋体" w:hAnsi="宋体"/>
          <w:b/>
          <w:kern w:val="28"/>
          <w:sz w:val="36"/>
          <w:szCs w:val="36"/>
        </w:rPr>
      </w:pPr>
      <w:r>
        <w:rPr>
          <w:rFonts w:hint="eastAsia" w:ascii="宋体" w:hAnsi="宋体" w:cs="宋体"/>
          <w:kern w:val="0"/>
          <w:szCs w:val="21"/>
        </w:rPr>
        <w:t xml:space="preserve">                          日　期：      年    月    日</w:t>
      </w:r>
    </w:p>
    <w:p w14:paraId="4A91109F">
      <w:pPr>
        <w:spacing w:line="360" w:lineRule="exact"/>
        <w:jc w:val="center"/>
        <w:rPr>
          <w:rFonts w:ascii="宋体" w:hAnsi="宋体"/>
          <w:b/>
          <w:kern w:val="28"/>
          <w:sz w:val="36"/>
          <w:szCs w:val="36"/>
        </w:rPr>
      </w:pPr>
    </w:p>
    <w:sectPr>
      <w:footerReference r:id="rId3" w:type="default"/>
      <w:footerReference r:id="rId4" w:type="even"/>
      <w:pgSz w:w="11920" w:h="16840"/>
      <w:pgMar w:top="851" w:right="1191" w:bottom="851" w:left="1191" w:header="737" w:footer="73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61903">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9</w:t>
    </w:r>
    <w:r>
      <w:fldChar w:fldCharType="end"/>
    </w:r>
  </w:p>
  <w:p w14:paraId="18D542A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238DB">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6</w:t>
    </w:r>
    <w:r>
      <w:fldChar w:fldCharType="end"/>
    </w:r>
  </w:p>
  <w:p w14:paraId="0B2A90C7">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7A48C1"/>
    <w:multiLevelType w:val="multilevel"/>
    <w:tmpl w:val="187A48C1"/>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mYzZGJkM2I5ODE5Yzk4MDY5YTBjM2NjOWIzMzcifQ=="/>
  </w:docVars>
  <w:rsids>
    <w:rsidRoot w:val="00D1402F"/>
    <w:rsid w:val="00002084"/>
    <w:rsid w:val="000028DB"/>
    <w:rsid w:val="00004582"/>
    <w:rsid w:val="00004BB1"/>
    <w:rsid w:val="00004D03"/>
    <w:rsid w:val="00005DCA"/>
    <w:rsid w:val="00017221"/>
    <w:rsid w:val="00020FAC"/>
    <w:rsid w:val="000214AB"/>
    <w:rsid w:val="00025036"/>
    <w:rsid w:val="00032633"/>
    <w:rsid w:val="0004340F"/>
    <w:rsid w:val="000515D2"/>
    <w:rsid w:val="00051890"/>
    <w:rsid w:val="00057CAE"/>
    <w:rsid w:val="0006345D"/>
    <w:rsid w:val="00063831"/>
    <w:rsid w:val="00065338"/>
    <w:rsid w:val="00065E02"/>
    <w:rsid w:val="0007383C"/>
    <w:rsid w:val="0008150C"/>
    <w:rsid w:val="00085C66"/>
    <w:rsid w:val="00090992"/>
    <w:rsid w:val="00091B6F"/>
    <w:rsid w:val="00095769"/>
    <w:rsid w:val="0009608A"/>
    <w:rsid w:val="000B31BB"/>
    <w:rsid w:val="000C3368"/>
    <w:rsid w:val="000C710A"/>
    <w:rsid w:val="000C765F"/>
    <w:rsid w:val="000D6FAA"/>
    <w:rsid w:val="000E1B09"/>
    <w:rsid w:val="000E2102"/>
    <w:rsid w:val="000E5056"/>
    <w:rsid w:val="000E73FE"/>
    <w:rsid w:val="000F0819"/>
    <w:rsid w:val="000F72C1"/>
    <w:rsid w:val="00127A3F"/>
    <w:rsid w:val="00134112"/>
    <w:rsid w:val="00141D8D"/>
    <w:rsid w:val="00141E27"/>
    <w:rsid w:val="00151399"/>
    <w:rsid w:val="00156536"/>
    <w:rsid w:val="00161866"/>
    <w:rsid w:val="00161872"/>
    <w:rsid w:val="00162C0A"/>
    <w:rsid w:val="001807AA"/>
    <w:rsid w:val="00182077"/>
    <w:rsid w:val="001840E4"/>
    <w:rsid w:val="00195718"/>
    <w:rsid w:val="00195FC9"/>
    <w:rsid w:val="001975E9"/>
    <w:rsid w:val="001A0CF5"/>
    <w:rsid w:val="001A1B99"/>
    <w:rsid w:val="001A2A72"/>
    <w:rsid w:val="001A4111"/>
    <w:rsid w:val="001B2BDB"/>
    <w:rsid w:val="001B5DCF"/>
    <w:rsid w:val="001C071E"/>
    <w:rsid w:val="001C191C"/>
    <w:rsid w:val="001C2847"/>
    <w:rsid w:val="001D2322"/>
    <w:rsid w:val="001D77D6"/>
    <w:rsid w:val="001E509F"/>
    <w:rsid w:val="001E589F"/>
    <w:rsid w:val="001E5D55"/>
    <w:rsid w:val="00200BB6"/>
    <w:rsid w:val="00201A00"/>
    <w:rsid w:val="00215045"/>
    <w:rsid w:val="00223D28"/>
    <w:rsid w:val="002256E0"/>
    <w:rsid w:val="00225FBC"/>
    <w:rsid w:val="00227DE4"/>
    <w:rsid w:val="002405AD"/>
    <w:rsid w:val="0024522C"/>
    <w:rsid w:val="0025310E"/>
    <w:rsid w:val="0025323C"/>
    <w:rsid w:val="00256D44"/>
    <w:rsid w:val="00257D4C"/>
    <w:rsid w:val="00271952"/>
    <w:rsid w:val="002765FA"/>
    <w:rsid w:val="00280056"/>
    <w:rsid w:val="0028237F"/>
    <w:rsid w:val="0029138F"/>
    <w:rsid w:val="0029406C"/>
    <w:rsid w:val="002A280B"/>
    <w:rsid w:val="002A446A"/>
    <w:rsid w:val="002A51CA"/>
    <w:rsid w:val="002A6C79"/>
    <w:rsid w:val="002A7699"/>
    <w:rsid w:val="002B009C"/>
    <w:rsid w:val="002B017B"/>
    <w:rsid w:val="002B5AB7"/>
    <w:rsid w:val="002B5CED"/>
    <w:rsid w:val="002B6660"/>
    <w:rsid w:val="002C1D2A"/>
    <w:rsid w:val="002C248C"/>
    <w:rsid w:val="002C46C2"/>
    <w:rsid w:val="002C605D"/>
    <w:rsid w:val="002D3D2A"/>
    <w:rsid w:val="002E0037"/>
    <w:rsid w:val="002E6258"/>
    <w:rsid w:val="002F0751"/>
    <w:rsid w:val="002F15C1"/>
    <w:rsid w:val="002F432E"/>
    <w:rsid w:val="002F5C9F"/>
    <w:rsid w:val="002F7517"/>
    <w:rsid w:val="003025F2"/>
    <w:rsid w:val="00302B6D"/>
    <w:rsid w:val="00305C8B"/>
    <w:rsid w:val="00311AEA"/>
    <w:rsid w:val="003151C4"/>
    <w:rsid w:val="00321760"/>
    <w:rsid w:val="0032395B"/>
    <w:rsid w:val="003408FE"/>
    <w:rsid w:val="00341798"/>
    <w:rsid w:val="00342634"/>
    <w:rsid w:val="00353327"/>
    <w:rsid w:val="003577DA"/>
    <w:rsid w:val="0037160C"/>
    <w:rsid w:val="00375127"/>
    <w:rsid w:val="00381A65"/>
    <w:rsid w:val="00385F9D"/>
    <w:rsid w:val="00390E91"/>
    <w:rsid w:val="003931AE"/>
    <w:rsid w:val="003A2290"/>
    <w:rsid w:val="003A2383"/>
    <w:rsid w:val="003A2E99"/>
    <w:rsid w:val="003A3172"/>
    <w:rsid w:val="003A6340"/>
    <w:rsid w:val="003C4B10"/>
    <w:rsid w:val="003C6C60"/>
    <w:rsid w:val="003E21B4"/>
    <w:rsid w:val="003E6117"/>
    <w:rsid w:val="003F72FC"/>
    <w:rsid w:val="003F78FE"/>
    <w:rsid w:val="0040082A"/>
    <w:rsid w:val="004032D9"/>
    <w:rsid w:val="004036AF"/>
    <w:rsid w:val="00404302"/>
    <w:rsid w:val="00404838"/>
    <w:rsid w:val="00404BE6"/>
    <w:rsid w:val="00411A17"/>
    <w:rsid w:val="00412970"/>
    <w:rsid w:val="00420732"/>
    <w:rsid w:val="0042377E"/>
    <w:rsid w:val="00426729"/>
    <w:rsid w:val="004341BA"/>
    <w:rsid w:val="00441205"/>
    <w:rsid w:val="004420C7"/>
    <w:rsid w:val="004426E1"/>
    <w:rsid w:val="00450E4D"/>
    <w:rsid w:val="00455667"/>
    <w:rsid w:val="00456C2D"/>
    <w:rsid w:val="0046305F"/>
    <w:rsid w:val="00464E6A"/>
    <w:rsid w:val="004674AE"/>
    <w:rsid w:val="004734EF"/>
    <w:rsid w:val="004778C0"/>
    <w:rsid w:val="004820FD"/>
    <w:rsid w:val="00484572"/>
    <w:rsid w:val="004868B3"/>
    <w:rsid w:val="00491040"/>
    <w:rsid w:val="0049272B"/>
    <w:rsid w:val="00492D2A"/>
    <w:rsid w:val="00495DF6"/>
    <w:rsid w:val="004B3BA6"/>
    <w:rsid w:val="004B47F0"/>
    <w:rsid w:val="004B72E2"/>
    <w:rsid w:val="004C04DD"/>
    <w:rsid w:val="004C642D"/>
    <w:rsid w:val="004D28FE"/>
    <w:rsid w:val="004D2908"/>
    <w:rsid w:val="004D5677"/>
    <w:rsid w:val="004E2F3B"/>
    <w:rsid w:val="004E4869"/>
    <w:rsid w:val="004E7CA4"/>
    <w:rsid w:val="004F0F99"/>
    <w:rsid w:val="004F12D8"/>
    <w:rsid w:val="004F459E"/>
    <w:rsid w:val="004F6A19"/>
    <w:rsid w:val="004F6CD2"/>
    <w:rsid w:val="00505DCA"/>
    <w:rsid w:val="0050795E"/>
    <w:rsid w:val="00510EC8"/>
    <w:rsid w:val="00513E0D"/>
    <w:rsid w:val="00516FC5"/>
    <w:rsid w:val="005300E6"/>
    <w:rsid w:val="00531736"/>
    <w:rsid w:val="0053528A"/>
    <w:rsid w:val="00550524"/>
    <w:rsid w:val="00552129"/>
    <w:rsid w:val="00556E1B"/>
    <w:rsid w:val="005606D5"/>
    <w:rsid w:val="005631F7"/>
    <w:rsid w:val="00580CEF"/>
    <w:rsid w:val="00582CCC"/>
    <w:rsid w:val="005830FD"/>
    <w:rsid w:val="00594918"/>
    <w:rsid w:val="005A1C0F"/>
    <w:rsid w:val="005A2DF9"/>
    <w:rsid w:val="005A36BA"/>
    <w:rsid w:val="005A588C"/>
    <w:rsid w:val="005A6A8D"/>
    <w:rsid w:val="005B2302"/>
    <w:rsid w:val="005B4DAB"/>
    <w:rsid w:val="005C11B5"/>
    <w:rsid w:val="005C2655"/>
    <w:rsid w:val="005C33D9"/>
    <w:rsid w:val="005C3C62"/>
    <w:rsid w:val="005C5144"/>
    <w:rsid w:val="005C7808"/>
    <w:rsid w:val="005D00E0"/>
    <w:rsid w:val="005D60D2"/>
    <w:rsid w:val="005D6B8B"/>
    <w:rsid w:val="005E147B"/>
    <w:rsid w:val="005E32F3"/>
    <w:rsid w:val="005E433F"/>
    <w:rsid w:val="005E6694"/>
    <w:rsid w:val="005F02A6"/>
    <w:rsid w:val="005F1C7F"/>
    <w:rsid w:val="0061330B"/>
    <w:rsid w:val="0061356D"/>
    <w:rsid w:val="006178EC"/>
    <w:rsid w:val="00620275"/>
    <w:rsid w:val="00632D7C"/>
    <w:rsid w:val="00633DB3"/>
    <w:rsid w:val="006558F1"/>
    <w:rsid w:val="00657920"/>
    <w:rsid w:val="0066434D"/>
    <w:rsid w:val="00666890"/>
    <w:rsid w:val="0067687A"/>
    <w:rsid w:val="006823CC"/>
    <w:rsid w:val="00690E68"/>
    <w:rsid w:val="006A26B4"/>
    <w:rsid w:val="006A3169"/>
    <w:rsid w:val="006A63BA"/>
    <w:rsid w:val="006B238F"/>
    <w:rsid w:val="006B5D02"/>
    <w:rsid w:val="006B63D9"/>
    <w:rsid w:val="006C237F"/>
    <w:rsid w:val="006C5473"/>
    <w:rsid w:val="006C5989"/>
    <w:rsid w:val="006D4446"/>
    <w:rsid w:val="006E3198"/>
    <w:rsid w:val="00701AAF"/>
    <w:rsid w:val="00703D3A"/>
    <w:rsid w:val="007107BA"/>
    <w:rsid w:val="00725D67"/>
    <w:rsid w:val="00726651"/>
    <w:rsid w:val="00730D8E"/>
    <w:rsid w:val="00731875"/>
    <w:rsid w:val="00732592"/>
    <w:rsid w:val="0073262F"/>
    <w:rsid w:val="007328A4"/>
    <w:rsid w:val="00735BEA"/>
    <w:rsid w:val="007406F2"/>
    <w:rsid w:val="0074377C"/>
    <w:rsid w:val="00747D39"/>
    <w:rsid w:val="00750708"/>
    <w:rsid w:val="00757042"/>
    <w:rsid w:val="007635D5"/>
    <w:rsid w:val="00767FB4"/>
    <w:rsid w:val="00783237"/>
    <w:rsid w:val="007833DC"/>
    <w:rsid w:val="00796326"/>
    <w:rsid w:val="00796368"/>
    <w:rsid w:val="007966E7"/>
    <w:rsid w:val="007A61A7"/>
    <w:rsid w:val="007A7341"/>
    <w:rsid w:val="007A7817"/>
    <w:rsid w:val="007B129E"/>
    <w:rsid w:val="007B30F8"/>
    <w:rsid w:val="007C2A40"/>
    <w:rsid w:val="007D765E"/>
    <w:rsid w:val="007E1AE3"/>
    <w:rsid w:val="007E35F1"/>
    <w:rsid w:val="007E703C"/>
    <w:rsid w:val="007F2731"/>
    <w:rsid w:val="007F3B92"/>
    <w:rsid w:val="007F5E58"/>
    <w:rsid w:val="00800746"/>
    <w:rsid w:val="00803019"/>
    <w:rsid w:val="008034FF"/>
    <w:rsid w:val="00803AE2"/>
    <w:rsid w:val="00803CEA"/>
    <w:rsid w:val="00806395"/>
    <w:rsid w:val="00812204"/>
    <w:rsid w:val="008132D6"/>
    <w:rsid w:val="008211E9"/>
    <w:rsid w:val="008218DF"/>
    <w:rsid w:val="008312F6"/>
    <w:rsid w:val="00833C1E"/>
    <w:rsid w:val="00856142"/>
    <w:rsid w:val="00861652"/>
    <w:rsid w:val="00870DC3"/>
    <w:rsid w:val="00882055"/>
    <w:rsid w:val="00884A9C"/>
    <w:rsid w:val="008869A0"/>
    <w:rsid w:val="008A0187"/>
    <w:rsid w:val="008A33C3"/>
    <w:rsid w:val="008A37DD"/>
    <w:rsid w:val="008A7A4A"/>
    <w:rsid w:val="008B0A34"/>
    <w:rsid w:val="008B45AA"/>
    <w:rsid w:val="008B53D2"/>
    <w:rsid w:val="008C1F78"/>
    <w:rsid w:val="008C39C3"/>
    <w:rsid w:val="008D3657"/>
    <w:rsid w:val="008D508A"/>
    <w:rsid w:val="008D619A"/>
    <w:rsid w:val="008D6FE4"/>
    <w:rsid w:val="008E690F"/>
    <w:rsid w:val="008F30F3"/>
    <w:rsid w:val="008F3913"/>
    <w:rsid w:val="008F50FF"/>
    <w:rsid w:val="0090019F"/>
    <w:rsid w:val="00907C44"/>
    <w:rsid w:val="00912130"/>
    <w:rsid w:val="0091380D"/>
    <w:rsid w:val="00914AAB"/>
    <w:rsid w:val="0091766C"/>
    <w:rsid w:val="00917961"/>
    <w:rsid w:val="0092280C"/>
    <w:rsid w:val="00925B79"/>
    <w:rsid w:val="00935A01"/>
    <w:rsid w:val="009365EE"/>
    <w:rsid w:val="00937589"/>
    <w:rsid w:val="00937A6C"/>
    <w:rsid w:val="00940CA2"/>
    <w:rsid w:val="00942366"/>
    <w:rsid w:val="009428FA"/>
    <w:rsid w:val="00944661"/>
    <w:rsid w:val="009446B2"/>
    <w:rsid w:val="00956368"/>
    <w:rsid w:val="00956581"/>
    <w:rsid w:val="00957AE0"/>
    <w:rsid w:val="00963559"/>
    <w:rsid w:val="00974789"/>
    <w:rsid w:val="00974E76"/>
    <w:rsid w:val="009824CF"/>
    <w:rsid w:val="00984BE6"/>
    <w:rsid w:val="00986FC2"/>
    <w:rsid w:val="009931CE"/>
    <w:rsid w:val="00995B6F"/>
    <w:rsid w:val="009B3267"/>
    <w:rsid w:val="009C3E33"/>
    <w:rsid w:val="009C5FF3"/>
    <w:rsid w:val="009C7A9C"/>
    <w:rsid w:val="009D7ECE"/>
    <w:rsid w:val="009F11F3"/>
    <w:rsid w:val="009F4E1E"/>
    <w:rsid w:val="009F5798"/>
    <w:rsid w:val="009F62E8"/>
    <w:rsid w:val="009F66DE"/>
    <w:rsid w:val="00A04011"/>
    <w:rsid w:val="00A07571"/>
    <w:rsid w:val="00A12AE0"/>
    <w:rsid w:val="00A133AA"/>
    <w:rsid w:val="00A14274"/>
    <w:rsid w:val="00A22D04"/>
    <w:rsid w:val="00A268BB"/>
    <w:rsid w:val="00A27802"/>
    <w:rsid w:val="00A3091D"/>
    <w:rsid w:val="00A36E6D"/>
    <w:rsid w:val="00A37A52"/>
    <w:rsid w:val="00A519C5"/>
    <w:rsid w:val="00A6164D"/>
    <w:rsid w:val="00A63A19"/>
    <w:rsid w:val="00A70C45"/>
    <w:rsid w:val="00A855AA"/>
    <w:rsid w:val="00A94BAD"/>
    <w:rsid w:val="00A95E02"/>
    <w:rsid w:val="00AA52C5"/>
    <w:rsid w:val="00AB0B2E"/>
    <w:rsid w:val="00AB480C"/>
    <w:rsid w:val="00AB4EEF"/>
    <w:rsid w:val="00AB611B"/>
    <w:rsid w:val="00AC2DAA"/>
    <w:rsid w:val="00AD2E1A"/>
    <w:rsid w:val="00AD4A1A"/>
    <w:rsid w:val="00AE1928"/>
    <w:rsid w:val="00AE1A6C"/>
    <w:rsid w:val="00AE3564"/>
    <w:rsid w:val="00AE6E8C"/>
    <w:rsid w:val="00AF73D8"/>
    <w:rsid w:val="00B04D5A"/>
    <w:rsid w:val="00B04DAB"/>
    <w:rsid w:val="00B0658B"/>
    <w:rsid w:val="00B10D83"/>
    <w:rsid w:val="00B10EB9"/>
    <w:rsid w:val="00B141C7"/>
    <w:rsid w:val="00B16955"/>
    <w:rsid w:val="00B23788"/>
    <w:rsid w:val="00B31DD7"/>
    <w:rsid w:val="00B368E8"/>
    <w:rsid w:val="00B404CB"/>
    <w:rsid w:val="00B433A5"/>
    <w:rsid w:val="00B47508"/>
    <w:rsid w:val="00B52A33"/>
    <w:rsid w:val="00B643F2"/>
    <w:rsid w:val="00B7609F"/>
    <w:rsid w:val="00B81537"/>
    <w:rsid w:val="00B87710"/>
    <w:rsid w:val="00BA21E2"/>
    <w:rsid w:val="00BA339A"/>
    <w:rsid w:val="00BB2FD0"/>
    <w:rsid w:val="00BB4003"/>
    <w:rsid w:val="00BC3F82"/>
    <w:rsid w:val="00BC50C0"/>
    <w:rsid w:val="00BC7D02"/>
    <w:rsid w:val="00BD76CA"/>
    <w:rsid w:val="00BE25F6"/>
    <w:rsid w:val="00BE2A11"/>
    <w:rsid w:val="00BE2D33"/>
    <w:rsid w:val="00BE6FDF"/>
    <w:rsid w:val="00BE71E0"/>
    <w:rsid w:val="00BF18D9"/>
    <w:rsid w:val="00BF7025"/>
    <w:rsid w:val="00C01D23"/>
    <w:rsid w:val="00C06329"/>
    <w:rsid w:val="00C10D6B"/>
    <w:rsid w:val="00C1694B"/>
    <w:rsid w:val="00C23526"/>
    <w:rsid w:val="00C323E5"/>
    <w:rsid w:val="00C33BF3"/>
    <w:rsid w:val="00C346D5"/>
    <w:rsid w:val="00C34B0F"/>
    <w:rsid w:val="00C34E07"/>
    <w:rsid w:val="00C40298"/>
    <w:rsid w:val="00C53939"/>
    <w:rsid w:val="00C543BB"/>
    <w:rsid w:val="00C5441E"/>
    <w:rsid w:val="00C57D9F"/>
    <w:rsid w:val="00C72A75"/>
    <w:rsid w:val="00C77200"/>
    <w:rsid w:val="00C77DC6"/>
    <w:rsid w:val="00C8025C"/>
    <w:rsid w:val="00C855D3"/>
    <w:rsid w:val="00C8641A"/>
    <w:rsid w:val="00C9522F"/>
    <w:rsid w:val="00C95DE2"/>
    <w:rsid w:val="00C960D2"/>
    <w:rsid w:val="00CC03D8"/>
    <w:rsid w:val="00CC3A9A"/>
    <w:rsid w:val="00CC55CF"/>
    <w:rsid w:val="00CD0457"/>
    <w:rsid w:val="00CD0CBF"/>
    <w:rsid w:val="00CD221C"/>
    <w:rsid w:val="00CD3D26"/>
    <w:rsid w:val="00CD6A88"/>
    <w:rsid w:val="00CD794B"/>
    <w:rsid w:val="00CF02E8"/>
    <w:rsid w:val="00CF103B"/>
    <w:rsid w:val="00CF14AB"/>
    <w:rsid w:val="00CF26C8"/>
    <w:rsid w:val="00CF2F02"/>
    <w:rsid w:val="00CF3E41"/>
    <w:rsid w:val="00D0041A"/>
    <w:rsid w:val="00D1402F"/>
    <w:rsid w:val="00D15D61"/>
    <w:rsid w:val="00D15ED3"/>
    <w:rsid w:val="00D32502"/>
    <w:rsid w:val="00D40E11"/>
    <w:rsid w:val="00D42837"/>
    <w:rsid w:val="00D43A62"/>
    <w:rsid w:val="00D45281"/>
    <w:rsid w:val="00D453AA"/>
    <w:rsid w:val="00D45B50"/>
    <w:rsid w:val="00D46FD6"/>
    <w:rsid w:val="00D51C0D"/>
    <w:rsid w:val="00D63C5D"/>
    <w:rsid w:val="00D652A2"/>
    <w:rsid w:val="00D662B8"/>
    <w:rsid w:val="00D83D59"/>
    <w:rsid w:val="00D90CE3"/>
    <w:rsid w:val="00D920DD"/>
    <w:rsid w:val="00D9213F"/>
    <w:rsid w:val="00D97F24"/>
    <w:rsid w:val="00DA0B36"/>
    <w:rsid w:val="00DB09C5"/>
    <w:rsid w:val="00DB2380"/>
    <w:rsid w:val="00DC3E4E"/>
    <w:rsid w:val="00DD224D"/>
    <w:rsid w:val="00DD584A"/>
    <w:rsid w:val="00DF54AB"/>
    <w:rsid w:val="00DF5DDB"/>
    <w:rsid w:val="00E015B5"/>
    <w:rsid w:val="00E01DEF"/>
    <w:rsid w:val="00E15652"/>
    <w:rsid w:val="00E17A49"/>
    <w:rsid w:val="00E22198"/>
    <w:rsid w:val="00E23412"/>
    <w:rsid w:val="00E24015"/>
    <w:rsid w:val="00E24810"/>
    <w:rsid w:val="00E27274"/>
    <w:rsid w:val="00E3023F"/>
    <w:rsid w:val="00E305E4"/>
    <w:rsid w:val="00E31BC5"/>
    <w:rsid w:val="00E336D3"/>
    <w:rsid w:val="00E339DE"/>
    <w:rsid w:val="00E352E4"/>
    <w:rsid w:val="00E37591"/>
    <w:rsid w:val="00E503F8"/>
    <w:rsid w:val="00E52C2A"/>
    <w:rsid w:val="00E668DF"/>
    <w:rsid w:val="00E669B0"/>
    <w:rsid w:val="00E701E3"/>
    <w:rsid w:val="00E828DB"/>
    <w:rsid w:val="00E84F84"/>
    <w:rsid w:val="00E850CD"/>
    <w:rsid w:val="00E854ED"/>
    <w:rsid w:val="00E90570"/>
    <w:rsid w:val="00E934ED"/>
    <w:rsid w:val="00E945DA"/>
    <w:rsid w:val="00EA2D54"/>
    <w:rsid w:val="00EA4B0F"/>
    <w:rsid w:val="00EB1669"/>
    <w:rsid w:val="00EB54C2"/>
    <w:rsid w:val="00EC05F4"/>
    <w:rsid w:val="00EC4229"/>
    <w:rsid w:val="00EC7FB3"/>
    <w:rsid w:val="00ED13A8"/>
    <w:rsid w:val="00ED1F63"/>
    <w:rsid w:val="00ED3A57"/>
    <w:rsid w:val="00ED7506"/>
    <w:rsid w:val="00EE0BB5"/>
    <w:rsid w:val="00EE0BF7"/>
    <w:rsid w:val="00EF0AF9"/>
    <w:rsid w:val="00EF6086"/>
    <w:rsid w:val="00EF6A2F"/>
    <w:rsid w:val="00EF7061"/>
    <w:rsid w:val="00F033A1"/>
    <w:rsid w:val="00F066F1"/>
    <w:rsid w:val="00F2207A"/>
    <w:rsid w:val="00F265BE"/>
    <w:rsid w:val="00F33D28"/>
    <w:rsid w:val="00F35D43"/>
    <w:rsid w:val="00F3619F"/>
    <w:rsid w:val="00F4154D"/>
    <w:rsid w:val="00F433C4"/>
    <w:rsid w:val="00F5226F"/>
    <w:rsid w:val="00F52A64"/>
    <w:rsid w:val="00F56CE8"/>
    <w:rsid w:val="00F57447"/>
    <w:rsid w:val="00F61488"/>
    <w:rsid w:val="00F627A6"/>
    <w:rsid w:val="00F62A21"/>
    <w:rsid w:val="00F636C6"/>
    <w:rsid w:val="00F7476C"/>
    <w:rsid w:val="00F77625"/>
    <w:rsid w:val="00F808B0"/>
    <w:rsid w:val="00F84B68"/>
    <w:rsid w:val="00F9076C"/>
    <w:rsid w:val="00F922E5"/>
    <w:rsid w:val="00F92678"/>
    <w:rsid w:val="00F957F2"/>
    <w:rsid w:val="00FA023E"/>
    <w:rsid w:val="00FA04D6"/>
    <w:rsid w:val="00FA624C"/>
    <w:rsid w:val="00FB2038"/>
    <w:rsid w:val="00FC3C5E"/>
    <w:rsid w:val="00FD1CD3"/>
    <w:rsid w:val="00FD751B"/>
    <w:rsid w:val="00FE7F0C"/>
    <w:rsid w:val="00FF0B9B"/>
    <w:rsid w:val="00FF541C"/>
    <w:rsid w:val="00FF6D7A"/>
    <w:rsid w:val="00FF7D62"/>
    <w:rsid w:val="015F51BB"/>
    <w:rsid w:val="02211C3D"/>
    <w:rsid w:val="02A46519"/>
    <w:rsid w:val="03033289"/>
    <w:rsid w:val="03086EB8"/>
    <w:rsid w:val="03647597"/>
    <w:rsid w:val="03A312E7"/>
    <w:rsid w:val="03BC3669"/>
    <w:rsid w:val="03D667B3"/>
    <w:rsid w:val="04D07A99"/>
    <w:rsid w:val="0534797C"/>
    <w:rsid w:val="05574637"/>
    <w:rsid w:val="05733415"/>
    <w:rsid w:val="057B2EEF"/>
    <w:rsid w:val="05BB3D6D"/>
    <w:rsid w:val="05CF36B3"/>
    <w:rsid w:val="06D94A85"/>
    <w:rsid w:val="07546D26"/>
    <w:rsid w:val="078446F1"/>
    <w:rsid w:val="07FE2B6F"/>
    <w:rsid w:val="082D6A3D"/>
    <w:rsid w:val="084762C4"/>
    <w:rsid w:val="08BA6A96"/>
    <w:rsid w:val="0B000959"/>
    <w:rsid w:val="0B4379B7"/>
    <w:rsid w:val="0B4C26C6"/>
    <w:rsid w:val="0C5D45EA"/>
    <w:rsid w:val="0D2027F3"/>
    <w:rsid w:val="0E29316F"/>
    <w:rsid w:val="0E4D65AA"/>
    <w:rsid w:val="0ED130C1"/>
    <w:rsid w:val="0FB045CC"/>
    <w:rsid w:val="13F029FC"/>
    <w:rsid w:val="156F0BC5"/>
    <w:rsid w:val="158C7B2F"/>
    <w:rsid w:val="17075360"/>
    <w:rsid w:val="178939B5"/>
    <w:rsid w:val="17F11DA8"/>
    <w:rsid w:val="19E720B1"/>
    <w:rsid w:val="1ACB1CC6"/>
    <w:rsid w:val="1B261C7D"/>
    <w:rsid w:val="1B410951"/>
    <w:rsid w:val="1B9D7C6F"/>
    <w:rsid w:val="1BB457DD"/>
    <w:rsid w:val="1BCE6F65"/>
    <w:rsid w:val="1BE13EE2"/>
    <w:rsid w:val="1CAC44F0"/>
    <w:rsid w:val="1D9877E8"/>
    <w:rsid w:val="1EC434CF"/>
    <w:rsid w:val="200942ED"/>
    <w:rsid w:val="2216164A"/>
    <w:rsid w:val="22164D6B"/>
    <w:rsid w:val="22410BF7"/>
    <w:rsid w:val="22D96EB9"/>
    <w:rsid w:val="22DF26DC"/>
    <w:rsid w:val="22F2095E"/>
    <w:rsid w:val="233200D8"/>
    <w:rsid w:val="23A44173"/>
    <w:rsid w:val="23A54519"/>
    <w:rsid w:val="241F3946"/>
    <w:rsid w:val="25756B83"/>
    <w:rsid w:val="25FF6ED9"/>
    <w:rsid w:val="266D5534"/>
    <w:rsid w:val="26861188"/>
    <w:rsid w:val="2701241E"/>
    <w:rsid w:val="27613771"/>
    <w:rsid w:val="28441A80"/>
    <w:rsid w:val="28A245A9"/>
    <w:rsid w:val="28AA7D20"/>
    <w:rsid w:val="28AD0103"/>
    <w:rsid w:val="293B10D5"/>
    <w:rsid w:val="2B0A187A"/>
    <w:rsid w:val="2B781128"/>
    <w:rsid w:val="2B980F11"/>
    <w:rsid w:val="2BAE2C44"/>
    <w:rsid w:val="2BD35494"/>
    <w:rsid w:val="2BE97476"/>
    <w:rsid w:val="2C2A0110"/>
    <w:rsid w:val="2E3721B6"/>
    <w:rsid w:val="2E68598C"/>
    <w:rsid w:val="30095D10"/>
    <w:rsid w:val="3034062C"/>
    <w:rsid w:val="30FC114A"/>
    <w:rsid w:val="324741E9"/>
    <w:rsid w:val="329D7C8B"/>
    <w:rsid w:val="32DC7453"/>
    <w:rsid w:val="32E4633A"/>
    <w:rsid w:val="33337A73"/>
    <w:rsid w:val="34F82CDC"/>
    <w:rsid w:val="35896D27"/>
    <w:rsid w:val="36214319"/>
    <w:rsid w:val="368F7FAD"/>
    <w:rsid w:val="36E025F7"/>
    <w:rsid w:val="37020B1B"/>
    <w:rsid w:val="37D5281F"/>
    <w:rsid w:val="38BE64AD"/>
    <w:rsid w:val="395714A0"/>
    <w:rsid w:val="395D29A2"/>
    <w:rsid w:val="3A305F80"/>
    <w:rsid w:val="3A72247D"/>
    <w:rsid w:val="3B4A2E09"/>
    <w:rsid w:val="3B594B15"/>
    <w:rsid w:val="3C866CC7"/>
    <w:rsid w:val="3E490319"/>
    <w:rsid w:val="3E4F6CB0"/>
    <w:rsid w:val="3F0E69D2"/>
    <w:rsid w:val="3F845058"/>
    <w:rsid w:val="405745EF"/>
    <w:rsid w:val="40AD365B"/>
    <w:rsid w:val="41B51FF0"/>
    <w:rsid w:val="41B64AD1"/>
    <w:rsid w:val="41FB36A0"/>
    <w:rsid w:val="43D60B8C"/>
    <w:rsid w:val="43F32DAA"/>
    <w:rsid w:val="444255B6"/>
    <w:rsid w:val="463B61D4"/>
    <w:rsid w:val="46601D24"/>
    <w:rsid w:val="478B56E4"/>
    <w:rsid w:val="47D91D8D"/>
    <w:rsid w:val="47F170D7"/>
    <w:rsid w:val="486024AF"/>
    <w:rsid w:val="48AA54D8"/>
    <w:rsid w:val="4A1B668D"/>
    <w:rsid w:val="4A496D7A"/>
    <w:rsid w:val="4A6D183E"/>
    <w:rsid w:val="4ADF590D"/>
    <w:rsid w:val="4C6C1338"/>
    <w:rsid w:val="4CA263E4"/>
    <w:rsid w:val="4D1664F5"/>
    <w:rsid w:val="4E4D417C"/>
    <w:rsid w:val="4E617D89"/>
    <w:rsid w:val="4ECB50D3"/>
    <w:rsid w:val="4EE23C1E"/>
    <w:rsid w:val="4F365D17"/>
    <w:rsid w:val="4F69363C"/>
    <w:rsid w:val="4FC652ED"/>
    <w:rsid w:val="518339CE"/>
    <w:rsid w:val="5334555B"/>
    <w:rsid w:val="53F02939"/>
    <w:rsid w:val="53F34762"/>
    <w:rsid w:val="545000F2"/>
    <w:rsid w:val="546D0104"/>
    <w:rsid w:val="54704F4A"/>
    <w:rsid w:val="54C077AE"/>
    <w:rsid w:val="553F508D"/>
    <w:rsid w:val="56B3607D"/>
    <w:rsid w:val="56F45A19"/>
    <w:rsid w:val="573A47F4"/>
    <w:rsid w:val="574F1764"/>
    <w:rsid w:val="577C30AB"/>
    <w:rsid w:val="58216391"/>
    <w:rsid w:val="5A4828C5"/>
    <w:rsid w:val="5AB04BD0"/>
    <w:rsid w:val="5AEE7A04"/>
    <w:rsid w:val="5B9A6A06"/>
    <w:rsid w:val="5C052D02"/>
    <w:rsid w:val="5C07081F"/>
    <w:rsid w:val="5C871960"/>
    <w:rsid w:val="5CB66090"/>
    <w:rsid w:val="5DB53B0C"/>
    <w:rsid w:val="5E406B5E"/>
    <w:rsid w:val="5E8520FF"/>
    <w:rsid w:val="5EF46457"/>
    <w:rsid w:val="5F223BC2"/>
    <w:rsid w:val="5F3A04AB"/>
    <w:rsid w:val="601E5C14"/>
    <w:rsid w:val="60877632"/>
    <w:rsid w:val="60F9473A"/>
    <w:rsid w:val="612C3EB2"/>
    <w:rsid w:val="62703930"/>
    <w:rsid w:val="62C0704D"/>
    <w:rsid w:val="62C27934"/>
    <w:rsid w:val="62FB30A8"/>
    <w:rsid w:val="63DA79A5"/>
    <w:rsid w:val="63F20856"/>
    <w:rsid w:val="64063AB3"/>
    <w:rsid w:val="648B1196"/>
    <w:rsid w:val="65B251F3"/>
    <w:rsid w:val="65B62360"/>
    <w:rsid w:val="6618187B"/>
    <w:rsid w:val="6692003C"/>
    <w:rsid w:val="671D704F"/>
    <w:rsid w:val="67323E04"/>
    <w:rsid w:val="673B5904"/>
    <w:rsid w:val="67980EC5"/>
    <w:rsid w:val="67E81911"/>
    <w:rsid w:val="68003C21"/>
    <w:rsid w:val="68723267"/>
    <w:rsid w:val="68AF320A"/>
    <w:rsid w:val="690A42D4"/>
    <w:rsid w:val="69444545"/>
    <w:rsid w:val="69670B4F"/>
    <w:rsid w:val="6A731776"/>
    <w:rsid w:val="6A7F636D"/>
    <w:rsid w:val="6BC95474"/>
    <w:rsid w:val="6BFC3B49"/>
    <w:rsid w:val="6C0B519E"/>
    <w:rsid w:val="6C304A9D"/>
    <w:rsid w:val="6CAB23A5"/>
    <w:rsid w:val="6CC76EB2"/>
    <w:rsid w:val="6DEC5B90"/>
    <w:rsid w:val="6E4154EC"/>
    <w:rsid w:val="6E797469"/>
    <w:rsid w:val="6E8C1D6D"/>
    <w:rsid w:val="6E926E31"/>
    <w:rsid w:val="6F687CFC"/>
    <w:rsid w:val="709131E5"/>
    <w:rsid w:val="70AA2A66"/>
    <w:rsid w:val="713F598F"/>
    <w:rsid w:val="71480BE7"/>
    <w:rsid w:val="715A543E"/>
    <w:rsid w:val="72C91535"/>
    <w:rsid w:val="75210DC6"/>
    <w:rsid w:val="7564688B"/>
    <w:rsid w:val="771A0789"/>
    <w:rsid w:val="77ED0865"/>
    <w:rsid w:val="78816041"/>
    <w:rsid w:val="7A8D0632"/>
    <w:rsid w:val="7AA31C03"/>
    <w:rsid w:val="7BB35DD6"/>
    <w:rsid w:val="7C2C0318"/>
    <w:rsid w:val="7C3A20F4"/>
    <w:rsid w:val="7CE75169"/>
    <w:rsid w:val="7D04329E"/>
    <w:rsid w:val="7DD547CA"/>
    <w:rsid w:val="7E5E7FF8"/>
    <w:rsid w:val="7E6A78CD"/>
    <w:rsid w:val="7E991353"/>
    <w:rsid w:val="7EC54EA0"/>
    <w:rsid w:val="7EDB372F"/>
    <w:rsid w:val="7F190AAF"/>
    <w:rsid w:val="7F3A21A9"/>
    <w:rsid w:val="7FEE5E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line="416" w:lineRule="atLeast"/>
      <w:textAlignment w:val="baseline"/>
      <w:outlineLvl w:val="1"/>
    </w:pPr>
    <w:rPr>
      <w:rFonts w:ascii="Arial" w:hAnsi="Arial" w:eastAsia="黑体"/>
      <w:b/>
      <w:sz w:val="32"/>
    </w:rPr>
  </w:style>
  <w:style w:type="paragraph" w:styleId="3">
    <w:name w:val="heading 3"/>
    <w:basedOn w:val="1"/>
    <w:next w:val="1"/>
    <w:link w:val="23"/>
    <w:qFormat/>
    <w:uiPriority w:val="0"/>
    <w:pPr>
      <w:spacing w:before="100" w:beforeAutospacing="1" w:after="100" w:afterAutospacing="1"/>
      <w:jc w:val="left"/>
      <w:outlineLvl w:val="2"/>
    </w:pPr>
    <w:rPr>
      <w:rFonts w:hint="eastAsia" w:ascii="宋体" w:hAnsi="宋体" w:cs="宋体"/>
      <w:b/>
      <w:kern w:val="0"/>
      <w:sz w:val="27"/>
      <w:szCs w:val="27"/>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1"/>
    </w:rPr>
  </w:style>
  <w:style w:type="paragraph" w:styleId="5">
    <w:name w:val="annotation text"/>
    <w:basedOn w:val="1"/>
    <w:qFormat/>
    <w:uiPriority w:val="0"/>
    <w:pPr>
      <w:jc w:val="left"/>
    </w:pPr>
  </w:style>
  <w:style w:type="paragraph" w:styleId="6">
    <w:name w:val="Body Text"/>
    <w:basedOn w:val="1"/>
    <w:qFormat/>
    <w:uiPriority w:val="0"/>
    <w:pPr>
      <w:autoSpaceDE w:val="0"/>
      <w:autoSpaceDN w:val="0"/>
      <w:adjustRightInd w:val="0"/>
      <w:jc w:val="left"/>
    </w:pPr>
    <w:rPr>
      <w:rFonts w:ascii="宋体"/>
      <w:kern w:val="0"/>
      <w:sz w:val="28"/>
    </w:rPr>
  </w:style>
  <w:style w:type="paragraph" w:styleId="7">
    <w:name w:val="Plain Text"/>
    <w:basedOn w:val="1"/>
    <w:qFormat/>
    <w:uiPriority w:val="0"/>
    <w:rPr>
      <w:rFonts w:ascii="宋体" w:hAnsi="Courier New" w:cs="Courier New" w:eastAsiaTheme="minorEastAsia"/>
      <w:szCs w:val="21"/>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spacing w:after="200"/>
      <w:jc w:val="center"/>
    </w:pPr>
    <w:rPr>
      <w:rFonts w:ascii="Calibri" w:hAnsi="Calibri"/>
      <w:kern w:val="0"/>
      <w:sz w:val="18"/>
      <w:szCs w:val="18"/>
      <w:lang w:eastAsia="en-US"/>
    </w:rPr>
  </w:style>
  <w:style w:type="paragraph" w:styleId="12">
    <w:name w:val="toc 1"/>
    <w:basedOn w:val="1"/>
    <w:next w:val="1"/>
    <w:semiHidden/>
    <w:qFormat/>
    <w:uiPriority w:val="0"/>
    <w:pPr>
      <w:spacing w:after="200" w:line="276" w:lineRule="auto"/>
      <w:jc w:val="left"/>
    </w:pPr>
    <w:rPr>
      <w:rFonts w:ascii="Calibri" w:hAnsi="Calibri"/>
      <w:kern w:val="0"/>
      <w:sz w:val="22"/>
      <w:szCs w:val="22"/>
      <w:lang w:eastAsia="en-US"/>
    </w:rPr>
  </w:style>
  <w:style w:type="paragraph" w:styleId="13">
    <w:name w:val="toc 2"/>
    <w:basedOn w:val="14"/>
    <w:next w:val="14"/>
    <w:qFormat/>
    <w:uiPriority w:val="39"/>
    <w:pPr>
      <w:ind w:left="210"/>
      <w:jc w:val="left"/>
    </w:pPr>
    <w:rPr>
      <w:rFonts w:ascii="等线"/>
      <w:smallCaps/>
      <w:sz w:val="20"/>
      <w:szCs w:val="20"/>
    </w:rPr>
  </w:style>
  <w:style w:type="paragraph" w:customStyle="1" w:styleId="14">
    <w:name w:val="正文_1"/>
    <w:next w:val="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Normal Indent1"/>
    <w:basedOn w:val="16"/>
    <w:qFormat/>
    <w:uiPriority w:val="0"/>
    <w:pPr>
      <w:ind w:firstLine="420" w:firstLineChars="200"/>
    </w:pPr>
  </w:style>
  <w:style w:type="paragraph" w:customStyle="1" w:styleId="16">
    <w:name w:val="正文_1_0"/>
    <w:next w:val="4"/>
    <w:qFormat/>
    <w:uiPriority w:val="0"/>
    <w:pPr>
      <w:widowControl w:val="0"/>
      <w:jc w:val="both"/>
    </w:pPr>
    <w:rPr>
      <w:rFonts w:ascii="Times New Roman" w:hAnsi="Times New Roman" w:eastAsia="宋体" w:cs="Times New Roman"/>
      <w:kern w:val="2"/>
      <w:sz w:val="21"/>
      <w:szCs w:val="22"/>
      <w:lang w:val="en-US" w:eastAsia="zh-CN" w:bidi="ar-SA"/>
    </w:rPr>
  </w:style>
  <w:style w:type="table" w:styleId="18">
    <w:name w:val="Table Grid"/>
    <w:basedOn w:val="1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page number"/>
    <w:qFormat/>
    <w:uiPriority w:val="0"/>
  </w:style>
  <w:style w:type="character" w:styleId="21">
    <w:name w:val="Hyperlink"/>
    <w:qFormat/>
    <w:uiPriority w:val="99"/>
    <w:rPr>
      <w:color w:val="0000FF"/>
      <w:u w:val="single"/>
    </w:rPr>
  </w:style>
  <w:style w:type="paragraph" w:customStyle="1" w:styleId="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3">
    <w:name w:val="标题 3 字符"/>
    <w:link w:val="3"/>
    <w:qFormat/>
    <w:uiPriority w:val="0"/>
    <w:rPr>
      <w:rFonts w:ascii="宋体" w:hAnsi="宋体" w:cs="宋体"/>
      <w:b/>
      <w:sz w:val="27"/>
      <w:szCs w:val="27"/>
    </w:rPr>
  </w:style>
  <w:style w:type="character" w:customStyle="1" w:styleId="24">
    <w:name w:val="font31"/>
    <w:qFormat/>
    <w:uiPriority w:val="0"/>
    <w:rPr>
      <w:rFonts w:hint="eastAsia" w:ascii="宋体" w:hAnsi="宋体" w:eastAsia="宋体" w:cs="宋体"/>
      <w:color w:val="333333"/>
      <w:sz w:val="22"/>
      <w:szCs w:val="22"/>
      <w:u w:val="none"/>
    </w:rPr>
  </w:style>
  <w:style w:type="character" w:customStyle="1" w:styleId="25">
    <w:name w:val="font11"/>
    <w:qFormat/>
    <w:uiPriority w:val="0"/>
    <w:rPr>
      <w:rFonts w:hint="eastAsia" w:ascii="宋体" w:hAnsi="宋体" w:eastAsia="宋体" w:cs="宋体"/>
      <w:b/>
      <w:color w:val="333333"/>
      <w:sz w:val="24"/>
      <w:szCs w:val="24"/>
      <w:u w:val="none"/>
    </w:rPr>
  </w:style>
  <w:style w:type="character" w:customStyle="1" w:styleId="26">
    <w:name w:val="font61"/>
    <w:qFormat/>
    <w:uiPriority w:val="0"/>
    <w:rPr>
      <w:rFonts w:hint="eastAsia" w:ascii="宋体" w:hAnsi="宋体" w:eastAsia="宋体" w:cs="宋体"/>
      <w:color w:val="333333"/>
      <w:sz w:val="20"/>
      <w:szCs w:val="20"/>
      <w:u w:val="none"/>
    </w:rPr>
  </w:style>
  <w:style w:type="character" w:customStyle="1" w:styleId="27">
    <w:name w:val="font81"/>
    <w:qFormat/>
    <w:uiPriority w:val="0"/>
    <w:rPr>
      <w:rFonts w:hint="eastAsia" w:ascii="宋体" w:hAnsi="宋体" w:eastAsia="宋体" w:cs="宋体"/>
      <w:color w:val="000000"/>
      <w:sz w:val="24"/>
      <w:szCs w:val="24"/>
      <w:u w:val="none"/>
    </w:rPr>
  </w:style>
  <w:style w:type="character" w:customStyle="1" w:styleId="28">
    <w:name w:val="font101"/>
    <w:qFormat/>
    <w:uiPriority w:val="0"/>
    <w:rPr>
      <w:rFonts w:hint="default" w:ascii="Times New Roman" w:hAnsi="Times New Roman" w:cs="Times New Roman"/>
      <w:color w:val="000000"/>
      <w:sz w:val="22"/>
      <w:szCs w:val="22"/>
      <w:u w:val="none"/>
    </w:rPr>
  </w:style>
  <w:style w:type="character" w:customStyle="1" w:styleId="29">
    <w:name w:val="font01"/>
    <w:qFormat/>
    <w:uiPriority w:val="0"/>
    <w:rPr>
      <w:rFonts w:hint="eastAsia" w:ascii="宋体" w:hAnsi="宋体" w:eastAsia="宋体" w:cs="宋体"/>
      <w:color w:val="333333"/>
      <w:sz w:val="28"/>
      <w:szCs w:val="28"/>
      <w:u w:val="none"/>
    </w:rPr>
  </w:style>
  <w:style w:type="character" w:customStyle="1" w:styleId="30">
    <w:name w:val="font41"/>
    <w:qFormat/>
    <w:uiPriority w:val="0"/>
    <w:rPr>
      <w:rFonts w:hint="eastAsia" w:ascii="宋体" w:hAnsi="宋体" w:eastAsia="宋体" w:cs="宋体"/>
      <w:color w:val="000000"/>
      <w:sz w:val="22"/>
      <w:szCs w:val="22"/>
      <w:u w:val="none"/>
    </w:rPr>
  </w:style>
  <w:style w:type="character" w:customStyle="1" w:styleId="31">
    <w:name w:val="标题1"/>
    <w:qFormat/>
    <w:uiPriority w:val="0"/>
  </w:style>
  <w:style w:type="character" w:customStyle="1" w:styleId="32">
    <w:name w:val="font122"/>
    <w:qFormat/>
    <w:uiPriority w:val="0"/>
    <w:rPr>
      <w:rFonts w:hint="eastAsia" w:ascii="宋体" w:hAnsi="宋体" w:eastAsia="宋体" w:cs="宋体"/>
      <w:b/>
      <w:bCs/>
      <w:color w:val="333333"/>
      <w:sz w:val="24"/>
      <w:szCs w:val="24"/>
      <w:u w:val="none"/>
    </w:rPr>
  </w:style>
  <w:style w:type="character" w:customStyle="1" w:styleId="33">
    <w:name w:val="font131"/>
    <w:qFormat/>
    <w:uiPriority w:val="0"/>
    <w:rPr>
      <w:rFonts w:ascii="Tahoma" w:hAnsi="Tahoma" w:eastAsia="Tahoma" w:cs="Tahoma"/>
      <w:color w:val="000000"/>
      <w:sz w:val="24"/>
      <w:szCs w:val="24"/>
      <w:u w:val="none"/>
    </w:rPr>
  </w:style>
  <w:style w:type="character" w:customStyle="1" w:styleId="34">
    <w:name w:val="font141"/>
    <w:qFormat/>
    <w:uiPriority w:val="0"/>
    <w:rPr>
      <w:rFonts w:ascii="Calibri" w:hAnsi="Calibri" w:cs="Calibri"/>
      <w:color w:val="000000"/>
      <w:sz w:val="24"/>
      <w:szCs w:val="24"/>
      <w:u w:val="none"/>
    </w:rPr>
  </w:style>
  <w:style w:type="character" w:customStyle="1" w:styleId="35">
    <w:name w:val="font151"/>
    <w:qFormat/>
    <w:uiPriority w:val="0"/>
    <w:rPr>
      <w:rFonts w:hint="default" w:ascii="Tahoma" w:hAnsi="Tahoma" w:eastAsia="Tahoma" w:cs="Tahoma"/>
      <w:color w:val="000000"/>
      <w:sz w:val="24"/>
      <w:szCs w:val="24"/>
      <w:u w:val="none"/>
    </w:rPr>
  </w:style>
  <w:style w:type="character" w:customStyle="1" w:styleId="36">
    <w:name w:val="font161"/>
    <w:qFormat/>
    <w:uiPriority w:val="0"/>
    <w:rPr>
      <w:rFonts w:hint="eastAsia" w:ascii="宋体" w:hAnsi="宋体" w:eastAsia="宋体" w:cs="宋体"/>
      <w:color w:val="000000"/>
      <w:sz w:val="24"/>
      <w:szCs w:val="24"/>
      <w:u w:val="none"/>
    </w:rPr>
  </w:style>
  <w:style w:type="paragraph" w:customStyle="1" w:styleId="37">
    <w:name w:val="正文_0"/>
    <w:next w:val="13"/>
    <w:qFormat/>
    <w:uiPriority w:val="0"/>
    <w:pPr>
      <w:widowControl w:val="0"/>
      <w:ind w:firstLine="360"/>
      <w:jc w:val="both"/>
    </w:pPr>
    <w:rPr>
      <w:rFonts w:ascii="Calibri" w:hAnsi="Calibri" w:eastAsia="宋体" w:cs="Times New Roman"/>
      <w:kern w:val="2"/>
      <w:sz w:val="21"/>
      <w:szCs w:val="22"/>
      <w:lang w:val="en-US" w:eastAsia="zh-CN" w:bidi="ar-SA"/>
    </w:rPr>
  </w:style>
  <w:style w:type="paragraph" w:customStyle="1" w:styleId="38">
    <w:name w:val="Table Paragraph"/>
    <w:basedOn w:val="37"/>
    <w:qFormat/>
    <w:uiPriority w:val="1"/>
  </w:style>
  <w:style w:type="character" w:customStyle="1" w:styleId="39">
    <w:name w:val="p0 Char Char"/>
    <w:link w:val="40"/>
    <w:qFormat/>
    <w:uiPriority w:val="0"/>
    <w:rPr>
      <w:rFonts w:ascii="Times New Roman" w:hAnsi="Times New Roman" w:eastAsia="宋体" w:cs="Times New Roman"/>
      <w:sz w:val="21"/>
      <w:szCs w:val="21"/>
      <w:lang w:val="en-US" w:eastAsia="zh-CN" w:bidi="ar-SA"/>
    </w:rPr>
  </w:style>
  <w:style w:type="paragraph" w:customStyle="1" w:styleId="40">
    <w:name w:val="p0"/>
    <w:basedOn w:val="1"/>
    <w:link w:val="39"/>
    <w:qFormat/>
    <w:uiPriority w:val="0"/>
    <w:pPr>
      <w:widowControl/>
    </w:pPr>
    <w:rPr>
      <w:szCs w:val="21"/>
    </w:rPr>
  </w:style>
  <w:style w:type="character" w:customStyle="1" w:styleId="41">
    <w:name w:val="font21"/>
    <w:qFormat/>
    <w:uiPriority w:val="0"/>
    <w:rPr>
      <w:rFonts w:hint="eastAsia" w:ascii="宋体" w:hAnsi="宋体" w:eastAsia="宋体" w:cs="宋体"/>
      <w:color w:val="000000"/>
      <w:sz w:val="24"/>
      <w:szCs w:val="24"/>
      <w:u w:val="none"/>
    </w:rPr>
  </w:style>
  <w:style w:type="paragraph" w:customStyle="1" w:styleId="4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图"/>
    <w:basedOn w:val="1"/>
    <w:qFormat/>
    <w:uiPriority w:val="0"/>
    <w:pPr>
      <w:keepNext/>
      <w:spacing w:before="60" w:after="60" w:line="300" w:lineRule="auto"/>
      <w:jc w:val="center"/>
      <w:textAlignment w:val="center"/>
    </w:pPr>
    <w:rPr>
      <w:snapToGrid w:val="0"/>
      <w:spacing w:val="20"/>
      <w:sz w:val="24"/>
      <w:szCs w:val="20"/>
    </w:rPr>
  </w:style>
  <w:style w:type="paragraph" w:customStyle="1" w:styleId="44">
    <w:name w:val="正文+缩进"/>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1247</Words>
  <Characters>1432</Characters>
  <Lines>75</Lines>
  <Paragraphs>21</Paragraphs>
  <TotalTime>23</TotalTime>
  <ScaleCrop>false</ScaleCrop>
  <LinksUpToDate>false</LinksUpToDate>
  <CharactersWithSpaces>1498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2024-08-11T07:52:00Z</dcterms:created>
  <dc:creator>微软用户</dc:creator>
  <cp:lastModifiedBy>Jelly</cp:lastModifiedBy>
  <cp:lastPrinted>2025-09-17T08:54:00Z</cp:lastPrinted>
  <dcterms:modified xsi:type="dcterms:W3CDTF">2025-09-18T07:31:46Z</dcterms:modified>
  <dc:title>北山湾校区教学楼及实训楼安装窗帘项目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2B722EEB6F854AD8A56BA207E996653A_13</vt:lpwstr>
  </property>
  <property fmtid="{D5CDD505-2E9C-101B-9397-08002B2CF9AE}" pid="4" name="KSOTemplateDocerSaveRecord">
    <vt:lpwstr>eyJoZGlkIjoiZjVlYTBlZGVjNDQ3NmM5MGE4YjU1NWNlYmIzMGEyY2MiLCJ1c2VySWQiOiI0MjE5MjgwNjkifQ==</vt:lpwstr>
  </property>
</Properties>
</file>